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Revised WID on Enhancements for Air-to-ground network for 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2" w:name="_GoBack"/>
      <w:bookmarkEnd w:id="2"/>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106 meeting</w:t>
      </w:r>
      <w:r>
        <w:rPr>
          <w:rFonts w:hint="default" w:ascii="Arial" w:hAnsi="Arial" w:cs="Arial"/>
          <w:lang w:val="en-US" w:eastAsia="zh-CN"/>
        </w:rPr>
        <w:t xml:space="preserve">, </w:t>
      </w:r>
      <w:r>
        <w:rPr>
          <w:rFonts w:hint="eastAsia" w:cs="Arial"/>
          <w:lang w:val="en-US" w:eastAsia="zh-CN"/>
        </w:rPr>
        <w:t xml:space="preserve">a R19 WI led by RAN4 on NR Rel-19 ATG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0000FF"/>
              </w:rPr>
            </w:pPr>
            <w:r>
              <w:rPr>
                <w:color w:val="0000FF"/>
              </w:rPr>
              <w:t>4.1</w:t>
            </w:r>
            <w:r>
              <w:rPr>
                <w:color w:val="0000FF"/>
              </w:rPr>
              <w:tab/>
            </w:r>
            <w:r>
              <w:rPr>
                <w:color w:val="0000FF"/>
              </w:rPr>
              <w:t>Objective of SI or Core part WI or Testing part WI</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29"/>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29"/>
              <w:pageBreakBefore w:val="0"/>
              <w:numPr>
                <w:ilvl w:val="1"/>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 intra-band contiguous CA</w:t>
            </w:r>
          </w:p>
          <w:p>
            <w:pPr>
              <w:pStyle w:val="29"/>
              <w:pageBreakBefore w:val="0"/>
              <w:numPr>
                <w:ilvl w:val="2"/>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CA_n79C</w:t>
            </w:r>
          </w:p>
          <w:p>
            <w:pPr>
              <w:pStyle w:val="29"/>
              <w:pageBreakBefore w:val="0"/>
              <w:numPr>
                <w:ilvl w:val="1"/>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FR1+FR1 inter-band CA</w:t>
            </w:r>
          </w:p>
          <w:p>
            <w:pPr>
              <w:pStyle w:val="29"/>
              <w:pageBreakBefore w:val="0"/>
              <w:numPr>
                <w:ilvl w:val="2"/>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CA_n3A-n39A</w:t>
            </w:r>
          </w:p>
          <w:p>
            <w:pPr>
              <w:pStyle w:val="29"/>
              <w:pageBreakBefore w:val="0"/>
              <w:numPr>
                <w:ilvl w:val="0"/>
                <w:numId w:val="5"/>
              </w:numPr>
              <w:kinsoku/>
              <w:wordWrap/>
              <w:topLinePunct w:val="0"/>
              <w:bidi w:val="0"/>
              <w:snapToGrid/>
              <w:spacing w:line="240" w:lineRule="auto"/>
              <w:rPr>
                <w:rFonts w:eastAsia="Batang"/>
                <w:lang w:eastAsia="en-US"/>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29"/>
              <w:pageBreakBefore w:val="0"/>
              <w:numPr>
                <w:ilvl w:val="0"/>
                <w:numId w:val="5"/>
              </w:numPr>
              <w:kinsoku/>
              <w:wordWrap/>
              <w:topLinePunct w:val="0"/>
              <w:bidi w:val="0"/>
              <w:snapToGrid/>
              <w:spacing w:line="240" w:lineRule="auto"/>
            </w:pPr>
            <w:r>
              <w:rPr>
                <w:highlight w:val="yellow"/>
              </w:rPr>
              <w:t xml:space="preserve">Specify the </w:t>
            </w:r>
            <w:r>
              <w:rPr>
                <w:rFonts w:hint="eastAsia" w:eastAsia="等线"/>
                <w:highlight w:val="yellow"/>
                <w:lang w:eastAsia="zh-CN"/>
              </w:rPr>
              <w:t xml:space="preserve">TAE </w:t>
            </w:r>
            <w:r>
              <w:rPr>
                <w:highlight w:val="yellow"/>
              </w:rPr>
              <w:t xml:space="preserve">requirements for support of DL MIMO for BS. </w:t>
            </w:r>
            <w:r>
              <w:t>[RAN4]</w:t>
            </w:r>
            <w:r>
              <w:rPr>
                <w:rFonts w:hint="eastAsia" w:eastAsia="等线"/>
                <w:lang w:eastAsia="zh-CN"/>
              </w:rPr>
              <w:t>.</w:t>
            </w:r>
          </w:p>
          <w:p>
            <w:pPr>
              <w:pStyle w:val="29"/>
              <w:pageBreakBefore w:val="0"/>
              <w:numPr>
                <w:ilvl w:val="0"/>
                <w:numId w:val="5"/>
              </w:numPr>
              <w:kinsoku/>
              <w:wordWrap/>
              <w:topLinePunct w:val="0"/>
              <w:bidi w:val="0"/>
              <w:snapToGrid/>
              <w:spacing w:line="240" w:lineRule="auto"/>
              <w:rPr>
                <w:rFonts w:eastAsia="等线"/>
                <w:lang w:eastAsia="zh-CN"/>
              </w:rPr>
            </w:pPr>
            <w:r>
              <w:rPr>
                <w:rFonts w:hint="eastAsia" w:eastAsia="等线"/>
                <w:lang w:eastAsia="zh-CN"/>
              </w:rPr>
              <w:t>Specify signaling and UE capabilities if necessary [RAN2].</w:t>
            </w:r>
          </w:p>
          <w:p>
            <w:pPr>
              <w:pStyle w:val="4"/>
              <w:pageBreakBefore w:val="0"/>
              <w:kinsoku/>
              <w:wordWrap/>
              <w:topLinePunct w:val="0"/>
              <w:bidi w:val="0"/>
              <w:snapToGrid/>
              <w:spacing w:before="0" w:after="0" w:line="240" w:lineRule="auto"/>
              <w:rPr>
                <w:color w:val="0000FF"/>
              </w:rPr>
            </w:pPr>
            <w:r>
              <w:rPr>
                <w:color w:val="0000FF"/>
              </w:rPr>
              <w:t>4.2</w:t>
            </w:r>
            <w:r>
              <w:rPr>
                <w:color w:val="0000FF"/>
              </w:rPr>
              <w:tab/>
            </w:r>
            <w:r>
              <w:rPr>
                <w:color w:val="0000FF"/>
              </w:rPr>
              <w:t>Objective of Performance part WI</w:t>
            </w:r>
          </w:p>
          <w:p>
            <w:pPr>
              <w:pStyle w:val="52"/>
              <w:pageBreakBefore w:val="0"/>
              <w:kinsoku/>
              <w:wordWrap/>
              <w:topLinePunct w:val="0"/>
              <w:bidi w:val="0"/>
              <w:snapToGrid/>
              <w:spacing w:after="0" w:line="240" w:lineRule="auto"/>
              <w:rPr>
                <w:color w:val="0000FF"/>
              </w:rPr>
            </w:pPr>
            <w:r>
              <w:rPr>
                <w:color w:val="0000FF"/>
              </w:rPr>
              <w:t>NOTE:</w:t>
            </w:r>
            <w:r>
              <w:rPr>
                <w:color w:val="0000FF"/>
              </w:rPr>
              <w:tab/>
            </w:r>
            <w:r>
              <w:rPr>
                <w:color w:val="0000FF"/>
              </w:rPr>
              <w:t>Leave empty if the WI proposal does not contain a RAN performance part.</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performance part of the work item includes:</w:t>
            </w:r>
          </w:p>
          <w:p>
            <w:pPr>
              <w:pStyle w:val="29"/>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corresponding RRM performance and demodulation requirements for intra-band co-located and inter-band co-located DL CA.</w:t>
            </w:r>
          </w:p>
          <w:p>
            <w:pPr>
              <w:pStyle w:val="29"/>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corresponding demodulation requirements for support of UL MIMO with 2TX for single CC for UE with dual-polarization antenna.</w:t>
            </w:r>
          </w:p>
          <w:p>
            <w:pPr>
              <w:pStyle w:val="29"/>
              <w:pageBreakBefore w:val="0"/>
              <w:numPr>
                <w:ilvl w:val="0"/>
                <w:numId w:val="5"/>
              </w:numPr>
              <w:kinsoku/>
              <w:wordWrap/>
              <w:topLinePunct w:val="0"/>
              <w:bidi w:val="0"/>
              <w:snapToGrid/>
              <w:spacing w:line="240" w:lineRule="auto"/>
              <w:rPr>
                <w:rFonts w:eastAsia="等线"/>
                <w:highlight w:val="yellow"/>
                <w:lang w:eastAsia="zh-CN"/>
              </w:rPr>
            </w:pPr>
            <w:r>
              <w:rPr>
                <w:rFonts w:eastAsia="等线"/>
                <w:highlight w:val="yellow"/>
                <w:lang w:eastAsia="zh-CN"/>
              </w:rPr>
              <w:t>Specify demodulation requirements for support of DL MIMO for UE</w:t>
            </w:r>
            <w:r>
              <w:rPr>
                <w:rFonts w:hint="eastAsia" w:eastAsia="等线"/>
                <w:highlight w:val="yellow"/>
                <w:lang w:eastAsia="zh-CN"/>
              </w:rPr>
              <w:t xml:space="preserve"> with limited test cases</w:t>
            </w:r>
            <w:r>
              <w:rPr>
                <w:rFonts w:eastAsia="等线"/>
                <w:highlight w:val="yellow"/>
                <w:lang w:eastAsia="zh-CN"/>
              </w:rPr>
              <w:t>.</w:t>
            </w:r>
          </w:p>
          <w:p>
            <w:pPr>
              <w:pStyle w:val="29"/>
              <w:pageBreakBefore w:val="0"/>
              <w:numPr>
                <w:ilvl w:val="0"/>
                <w:numId w:val="5"/>
              </w:numPr>
              <w:kinsoku/>
              <w:wordWrap/>
              <w:topLinePunct w:val="0"/>
              <w:bidi w:val="0"/>
              <w:snapToGrid/>
              <w:spacing w:line="240" w:lineRule="auto"/>
              <w:rPr>
                <w:rFonts w:hint="eastAsia" w:ascii="Arial" w:hAnsi="Arial" w:cs="Arial"/>
                <w:sz w:val="20"/>
                <w:szCs w:val="20"/>
                <w:u w:val="none"/>
                <w:lang w:val="en-US" w:eastAsia="zh-CN"/>
              </w:rPr>
            </w:pPr>
            <w:bookmarkStart w:id="0" w:name="_Hlk183524706"/>
            <w:r>
              <w:rPr>
                <w:rFonts w:eastAsia="等线"/>
                <w:lang w:eastAsia="zh-CN"/>
              </w:rPr>
              <w:t>Specify conformance testing and conformance requirements for BS.</w:t>
            </w:r>
            <w:bookmarkEnd w:id="0"/>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new added objectives are highlighted. It can be seen the DL MIMO is approved as a new objective.To our understanding, the objective of DL MIMO has less impact on RRM aspects, so it would not lead new RRM issues.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ATG RRM, the following agreements were approved and summarized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widowControl/>
              <w:kinsoku/>
              <w:wordWrap/>
              <w:overflowPunct/>
              <w:topLinePunct w:val="0"/>
              <w:autoSpaceDE/>
              <w:bidi w:val="0"/>
              <w:adjustRightInd/>
              <w:spacing w:before="0" w:after="0"/>
              <w:textAlignment w:val="auto"/>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Signalling characteristics</w:t>
            </w:r>
          </w:p>
          <w:p>
            <w:pPr>
              <w:keepLines w:val="0"/>
              <w:pageBreakBefore w:val="0"/>
              <w:widowControl/>
              <w:kinsoku/>
              <w:wordWrap/>
              <w:overflowPunct/>
              <w:topLinePunct w:val="0"/>
              <w:autoSpaceDE/>
              <w:bidi w:val="0"/>
              <w:adjustRightInd/>
              <w:textAlignment w:val="auto"/>
              <w:rPr>
                <w:b/>
                <w:sz w:val="21"/>
                <w:szCs w:val="21"/>
                <w:u w:val="single"/>
                <w:lang w:eastAsia="ko-KR"/>
              </w:rPr>
            </w:pPr>
            <w:r>
              <w:rPr>
                <w:rFonts w:hint="eastAsia"/>
                <w:b/>
                <w:sz w:val="21"/>
                <w:szCs w:val="21"/>
                <w:u w:val="single"/>
                <w:lang w:eastAsia="ko-KR"/>
              </w:rPr>
              <w:t>Issue 1-3-1: Interruption requirements</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rFonts w:hint="eastAsia"/>
                <w:sz w:val="21"/>
                <w:szCs w:val="21"/>
                <w:highlight w:val="green"/>
                <w:lang w:eastAsia="zh-CN"/>
              </w:rPr>
              <w:t>Agreement: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Introduce following requirements for R19 ATG</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SCell addition/release</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 xml:space="preserve">Interruptions at SCell activation/deactivation </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direct SCell activation</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fast SCell activation</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during measurements on deactivated SCC</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due to SCell dormancy</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due to UE-specific CBW change</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due to Active BWP switching Requirement</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when identifying CGI of an NR cell with autonomous gaps</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Not introduce following requirements for R19 ATG</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 xml:space="preserve">Interruptions at UL carrier RRC reconfiguration </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inter-frequency SFTD measurement</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NR SRS carrier based switching</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due to PUCCH SCell activation/deactivation</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due to measurements without gap carried out by UE supporting [NeedForInterruptionInfoNR-R18]</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highlight w:val="yellow"/>
                <w:lang w:val="en-US" w:eastAsia="zh-CN"/>
              </w:rPr>
              <w:t>FFS</w:t>
            </w:r>
            <w:r>
              <w:rPr>
                <w:rFonts w:hint="eastAsia" w:eastAsia="宋体"/>
                <w:sz w:val="21"/>
                <w:szCs w:val="21"/>
                <w:lang w:val="en-US" w:eastAsia="zh-CN"/>
              </w:rPr>
              <w:t xml:space="preserve"> whether following requirements need to be introduced</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Interruptions at NR SRS antenna port switching</w:t>
            </w:r>
          </w:p>
          <w:p>
            <w:pPr>
              <w:keepLines w:val="0"/>
              <w:pageBreakBefore w:val="0"/>
              <w:widowControl/>
              <w:numPr>
                <w:ilvl w:val="0"/>
                <w:numId w:val="6"/>
              </w:numPr>
              <w:kinsoku/>
              <w:wordWrap/>
              <w:overflowPunct/>
              <w:topLinePunct w:val="0"/>
              <w:autoSpaceDE/>
              <w:bidi w:val="0"/>
              <w:adjustRightInd/>
              <w:ind w:left="600"/>
              <w:textAlignment w:val="auto"/>
              <w:rPr>
                <w:rFonts w:hint="eastAsia" w:eastAsia="宋体"/>
                <w:sz w:val="21"/>
                <w:szCs w:val="21"/>
                <w:lang w:val="en-US" w:eastAsia="zh-CN"/>
              </w:rPr>
            </w:pPr>
            <w:r>
              <w:rPr>
                <w:rFonts w:hint="eastAsia" w:eastAsia="宋体"/>
                <w:sz w:val="21"/>
                <w:szCs w:val="21"/>
                <w:highlight w:val="yellow"/>
                <w:lang w:val="en-US" w:eastAsia="zh-CN"/>
              </w:rPr>
              <w:t>Further discuss</w:t>
            </w:r>
            <w:r>
              <w:rPr>
                <w:rFonts w:hint="eastAsia" w:eastAsia="宋体"/>
                <w:sz w:val="21"/>
                <w:szCs w:val="21"/>
                <w:lang w:val="en-US" w:eastAsia="zh-CN"/>
              </w:rPr>
              <w:t xml:space="preserve"> the potential impact from UE antenna types</w:t>
            </w:r>
          </w:p>
          <w:p>
            <w:pPr>
              <w:keepLines w:val="0"/>
              <w:pageBreakBefore w:val="0"/>
              <w:widowControl/>
              <w:numPr>
                <w:ilvl w:val="0"/>
                <w:numId w:val="6"/>
              </w:numPr>
              <w:kinsoku/>
              <w:wordWrap/>
              <w:overflowPunct/>
              <w:topLinePunct w:val="0"/>
              <w:autoSpaceDE/>
              <w:bidi w:val="0"/>
              <w:adjustRightInd/>
              <w:ind w:left="600"/>
              <w:textAlignment w:val="auto"/>
              <w:rPr>
                <w:rFonts w:hint="eastAsia" w:eastAsia="宋体"/>
                <w:sz w:val="21"/>
                <w:szCs w:val="21"/>
                <w:lang w:val="en-US" w:eastAsia="zh-CN"/>
              </w:rPr>
            </w:pPr>
            <w:r>
              <w:rPr>
                <w:rFonts w:hint="eastAsia" w:eastAsia="宋体"/>
                <w:sz w:val="21"/>
                <w:szCs w:val="21"/>
                <w:highlight w:val="yellow"/>
                <w:lang w:val="en-US" w:eastAsia="zh-CN"/>
              </w:rPr>
              <w:t>Further discuss</w:t>
            </w:r>
            <w:r>
              <w:rPr>
                <w:rFonts w:hint="eastAsia" w:eastAsia="宋体"/>
                <w:sz w:val="21"/>
                <w:szCs w:val="21"/>
                <w:lang w:val="en-US" w:eastAsia="zh-CN"/>
              </w:rPr>
              <w:t xml:space="preserve"> how to reflect the interruption requirement for R19 ATG</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zh-CN"/>
              </w:rPr>
              <w:t>Issue 1-3-4: Active BWP switch delay on multiple CCs</w:t>
            </w:r>
          </w:p>
          <w:p>
            <w:pPr>
              <w:keepLines w:val="0"/>
              <w:pageBreakBefore w:val="0"/>
              <w:widowControl/>
              <w:kinsoku/>
              <w:wordWrap/>
              <w:overflowPunct/>
              <w:topLinePunct w:val="0"/>
              <w:autoSpaceDE/>
              <w:bidi w:val="0"/>
              <w:adjustRightInd/>
              <w:snapToGrid w:val="0"/>
              <w:textAlignment w:val="auto"/>
              <w:rPr>
                <w:sz w:val="21"/>
                <w:szCs w:val="21"/>
                <w:highlight w:val="green"/>
                <w:lang w:val="en-US" w:eastAsia="zh-CN"/>
              </w:rPr>
            </w:pPr>
            <w:r>
              <w:rPr>
                <w:rFonts w:hint="eastAsia"/>
                <w:sz w:val="21"/>
                <w:szCs w:val="21"/>
                <w:highlight w:val="green"/>
                <w:lang w:val="en-US" w:eastAsia="zh-CN"/>
              </w:rPr>
              <w:t>Agreement: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Introduce following requirements and the legacy can be reused as baseline</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highlight w:val="none"/>
                <w:lang w:val="en-US" w:eastAsia="zh-CN"/>
              </w:rPr>
            </w:pPr>
            <w:r>
              <w:rPr>
                <w:rFonts w:hint="eastAsia" w:eastAsia="宋体"/>
                <w:sz w:val="21"/>
                <w:szCs w:val="21"/>
                <w:highlight w:val="none"/>
                <w:lang w:val="en-US" w:eastAsia="zh-CN"/>
              </w:rPr>
              <w:t>Simultaneous DCI based BWP switch delay on multiple CCs</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highlight w:val="none"/>
                <w:lang w:val="en-US" w:eastAsia="zh-CN"/>
              </w:rPr>
            </w:pPr>
            <w:r>
              <w:rPr>
                <w:rFonts w:hint="eastAsia" w:eastAsia="宋体"/>
                <w:sz w:val="21"/>
                <w:szCs w:val="21"/>
                <w:highlight w:val="none"/>
                <w:lang w:val="en-US" w:eastAsia="zh-CN"/>
              </w:rPr>
              <w:t>Simultaneous RRC based BWP switch delay on multiple CCs</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highlight w:val="none"/>
                <w:lang w:val="en-US" w:eastAsia="zh-CN"/>
              </w:rPr>
            </w:pPr>
            <w:r>
              <w:rPr>
                <w:rFonts w:hint="eastAsia" w:eastAsia="宋体"/>
                <w:sz w:val="21"/>
                <w:szCs w:val="21"/>
                <w:highlight w:val="none"/>
                <w:lang w:val="en-US" w:eastAsia="zh-CN"/>
              </w:rPr>
              <w:t>Simultaneous Timer based BWP switch delay on multiple CCs</w:t>
            </w:r>
          </w:p>
          <w:p>
            <w:pPr>
              <w:keepLines w:val="0"/>
              <w:pageBreakBefore w:val="0"/>
              <w:widowControl/>
              <w:numPr>
                <w:ilvl w:val="1"/>
                <w:numId w:val="6"/>
              </w:numPr>
              <w:kinsoku/>
              <w:wordWrap/>
              <w:overflowPunct/>
              <w:topLinePunct w:val="0"/>
              <w:autoSpaceDE/>
              <w:bidi w:val="0"/>
              <w:adjustRightInd/>
              <w:ind w:left="1020"/>
              <w:textAlignment w:val="auto"/>
              <w:rPr>
                <w:rFonts w:eastAsia="等线"/>
                <w:sz w:val="21"/>
                <w:szCs w:val="21"/>
                <w:highlight w:val="none"/>
                <w:lang w:val="en-US" w:eastAsia="zh-CN"/>
              </w:rPr>
            </w:pPr>
            <w:r>
              <w:rPr>
                <w:rFonts w:hint="eastAsia" w:eastAsia="宋体"/>
                <w:sz w:val="21"/>
                <w:szCs w:val="21"/>
                <w:highlight w:val="none"/>
                <w:lang w:val="en-US" w:eastAsia="zh-CN"/>
              </w:rPr>
              <w:t>non-simultaneous Timer based BWP switch delay on multiple CCs</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zh-CN"/>
              </w:rPr>
              <w:t>Issue 1-3-5: Pre-configured measurement gap activation/deactivation delay upon SCell activation/deactivation</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 xml:space="preserve">Introduce Pre-configured measurement gap activation/deactivation delay requirement upon SCell activation/deactivation, the legacy requirement can be reused. </w:t>
            </w:r>
          </w:p>
          <w:p>
            <w:pPr>
              <w:keepLines w:val="0"/>
              <w:pageBreakBefore w:val="0"/>
              <w:widowControl/>
              <w:kinsoku/>
              <w:wordWrap/>
              <w:overflowPunct/>
              <w:topLinePunct w:val="0"/>
              <w:autoSpaceDE/>
              <w:bidi w:val="0"/>
              <w:adjustRightInd/>
              <w:textAlignment w:val="auto"/>
              <w:rPr>
                <w:lang w:val="en-US" w:eastAsia="zh-CN"/>
              </w:rPr>
            </w:pPr>
          </w:p>
          <w:p>
            <w:pPr>
              <w:pStyle w:val="3"/>
              <w:keepLines w:val="0"/>
              <w:pageBreakBefore w:val="0"/>
              <w:widowControl/>
              <w:kinsoku/>
              <w:wordWrap/>
              <w:overflowPunct/>
              <w:topLinePunct w:val="0"/>
              <w:autoSpaceDE/>
              <w:bidi w:val="0"/>
              <w:adjustRightInd/>
              <w:spacing w:before="0" w:after="0"/>
              <w:textAlignment w:val="auto"/>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Measurement procedure</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4-1</w:t>
            </w:r>
            <w:r>
              <w:rPr>
                <w:rFonts w:hint="eastAsia"/>
                <w:b/>
                <w:sz w:val="21"/>
                <w:szCs w:val="21"/>
                <w:u w:val="single"/>
                <w:lang w:val="en-US" w:eastAsia="ko-KR"/>
              </w:rPr>
              <w:t xml:space="preserve">: </w:t>
            </w:r>
            <w:r>
              <w:rPr>
                <w:rFonts w:hint="eastAsia"/>
                <w:b/>
                <w:sz w:val="21"/>
                <w:szCs w:val="21"/>
                <w:u w:val="single"/>
                <w:lang w:val="en-US" w:eastAsia="zh-CN"/>
              </w:rPr>
              <w:t>Capabilities for Support of Event Triggering and Reporting Criteria</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keepLines w:val="0"/>
              <w:pageBreakBefore w:val="0"/>
              <w:widowControl/>
              <w:numPr>
                <w:ilvl w:val="0"/>
                <w:numId w:val="6"/>
              </w:numPr>
              <w:kinsoku/>
              <w:wordWrap/>
              <w:overflowPunct/>
              <w:topLinePunct w:val="0"/>
              <w:autoSpaceDE/>
              <w:bidi w:val="0"/>
              <w:adjustRightInd/>
              <w:ind w:left="600"/>
              <w:textAlignment w:val="auto"/>
              <w:rPr>
                <w:b/>
                <w:sz w:val="21"/>
                <w:szCs w:val="21"/>
                <w:u w:val="single"/>
                <w:lang w:val="en-US" w:eastAsia="ko-KR"/>
              </w:rPr>
            </w:pPr>
            <w:r>
              <w:rPr>
                <w:rFonts w:hint="eastAsia" w:eastAsia="宋体"/>
                <w:sz w:val="21"/>
                <w:szCs w:val="21"/>
                <w:lang w:val="en-US" w:eastAsia="zh-CN"/>
              </w:rPr>
              <w:t xml:space="preserve">For capabilities for Support of Event Triggering and Reporting Criteria, configured NR serving frequencies will include PCell and SCells carrier frequencies in the total number of NR reporting criteria for intra-frequency category. </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4-2</w:t>
            </w:r>
            <w:r>
              <w:rPr>
                <w:rFonts w:hint="eastAsia"/>
                <w:b/>
                <w:sz w:val="21"/>
                <w:szCs w:val="21"/>
                <w:u w:val="single"/>
                <w:lang w:val="en-US" w:eastAsia="ko-KR"/>
              </w:rPr>
              <w:t xml:space="preserve">: </w:t>
            </w:r>
            <w:r>
              <w:rPr>
                <w:rFonts w:hint="eastAsia"/>
                <w:b/>
                <w:sz w:val="21"/>
                <w:szCs w:val="21"/>
                <w:u w:val="single"/>
                <w:lang w:val="en-US" w:eastAsia="zh-CN"/>
              </w:rPr>
              <w:t>Pre-configured measurement gap requirement</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sz w:val="21"/>
                <w:szCs w:val="21"/>
                <w:highlight w:val="green"/>
                <w:lang w:eastAsia="zh-CN"/>
              </w:rPr>
              <w:t>Agreement:</w:t>
            </w:r>
          </w:p>
          <w:p>
            <w:pPr>
              <w:keepLines w:val="0"/>
              <w:pageBreakBefore w:val="0"/>
              <w:widowControl/>
              <w:numPr>
                <w:ilvl w:val="0"/>
                <w:numId w:val="6"/>
              </w:numPr>
              <w:kinsoku/>
              <w:wordWrap/>
              <w:overflowPunct/>
              <w:topLinePunct w:val="0"/>
              <w:autoSpaceDE/>
              <w:bidi w:val="0"/>
              <w:adjustRightInd/>
              <w:ind w:left="600"/>
              <w:textAlignment w:val="auto"/>
              <w:rPr>
                <w:b/>
                <w:sz w:val="21"/>
                <w:szCs w:val="21"/>
                <w:u w:val="single"/>
                <w:lang w:val="en-US" w:eastAsia="ko-KR"/>
              </w:rPr>
            </w:pPr>
            <w:r>
              <w:rPr>
                <w:rFonts w:hint="eastAsia" w:eastAsia="宋体"/>
                <w:sz w:val="21"/>
                <w:szCs w:val="21"/>
                <w:lang w:val="en-US" w:eastAsia="zh-CN"/>
              </w:rPr>
              <w:t>SCell related triggering conditions should be considered for network-controlled and autonomous activation/deactivation mechanism of pre-configured measurement gap, and the legacy requirement can be reused.</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4-3</w:t>
            </w:r>
            <w:r>
              <w:rPr>
                <w:rFonts w:hint="eastAsia"/>
                <w:b/>
                <w:sz w:val="21"/>
                <w:szCs w:val="21"/>
                <w:u w:val="single"/>
                <w:lang w:val="en-US" w:eastAsia="ko-KR"/>
              </w:rPr>
              <w:t xml:space="preserve">: </w:t>
            </w:r>
            <w:r>
              <w:rPr>
                <w:rFonts w:hint="eastAsia"/>
                <w:b/>
                <w:sz w:val="21"/>
                <w:szCs w:val="21"/>
                <w:u w:val="single"/>
                <w:lang w:val="en-US" w:eastAsia="zh-CN"/>
              </w:rPr>
              <w:t>SCell activation triggered measurement reporting requirement</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sz w:val="21"/>
                <w:szCs w:val="21"/>
                <w:highlight w:val="green"/>
                <w:lang w:eastAsia="zh-CN"/>
              </w:rPr>
              <w:t>Agreement: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 xml:space="preserve">The measurement reporting requirement for SCell activation Triggered Reporting shall be introduced and the legacy requirements can be reused. </w:t>
            </w:r>
          </w:p>
          <w:p>
            <w:pPr>
              <w:keepLines w:val="0"/>
              <w:pageBreakBefore w:val="0"/>
              <w:widowControl/>
              <w:kinsoku/>
              <w:wordWrap/>
              <w:overflowPunct/>
              <w:topLinePunct w:val="0"/>
              <w:autoSpaceDE/>
              <w:bidi w:val="0"/>
              <w:adjustRightInd/>
              <w:textAlignment w:val="auto"/>
              <w:rPr>
                <w:b/>
                <w:sz w:val="21"/>
                <w:szCs w:val="21"/>
                <w:u w:val="single"/>
                <w:lang w:val="en-US" w:eastAsia="zh-CN"/>
              </w:rPr>
            </w:pPr>
            <w:r>
              <w:rPr>
                <w:rFonts w:hint="eastAsia"/>
                <w:b/>
                <w:sz w:val="21"/>
                <w:szCs w:val="21"/>
                <w:u w:val="single"/>
                <w:lang w:val="en-US" w:eastAsia="zh-CN"/>
              </w:rPr>
              <w:t>Issue 1-4-4: Deactivated SCell measurement</w:t>
            </w:r>
          </w:p>
          <w:p>
            <w:pPr>
              <w:keepLines w:val="0"/>
              <w:pageBreakBefore w:val="0"/>
              <w:widowControl/>
              <w:kinsoku/>
              <w:wordWrap/>
              <w:overflowPunct/>
              <w:topLinePunct w:val="0"/>
              <w:autoSpaceDE/>
              <w:bidi w:val="0"/>
              <w:adjustRightInd/>
              <w:snapToGrid w:val="0"/>
              <w:textAlignment w:val="auto"/>
              <w:rPr>
                <w:sz w:val="21"/>
                <w:szCs w:val="21"/>
                <w:highlight w:val="green"/>
                <w:lang w:eastAsia="zh-CN"/>
              </w:rPr>
            </w:pPr>
            <w:r>
              <w:rPr>
                <w:sz w:val="21"/>
                <w:szCs w:val="21"/>
                <w:highlight w:val="green"/>
                <w:lang w:eastAsia="zh-CN"/>
              </w:rPr>
              <w:t>Agreement: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beam sweeping factor N1 is needed.</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highlight w:val="yellow"/>
                <w:lang w:val="en-US" w:eastAsia="zh-CN"/>
              </w:rPr>
              <w:t>FFS</w:t>
            </w:r>
            <w:r>
              <w:rPr>
                <w:rFonts w:hint="eastAsia" w:eastAsia="宋体"/>
                <w:sz w:val="21"/>
                <w:szCs w:val="21"/>
                <w:lang w:val="en-US" w:eastAsia="zh-CN"/>
              </w:rPr>
              <w:t xml:space="preserve"> on L3/L1 measurement sharing factor</w:t>
            </w:r>
          </w:p>
          <w:p>
            <w:pPr>
              <w:keepLines w:val="0"/>
              <w:pageBreakBefore w:val="0"/>
              <w:widowControl/>
              <w:kinsoku/>
              <w:wordWrap/>
              <w:overflowPunct/>
              <w:topLinePunct w:val="0"/>
              <w:autoSpaceDE/>
              <w:bidi w:val="0"/>
              <w:adjustRightInd/>
              <w:textAlignment w:val="auto"/>
              <w:rPr>
                <w:b/>
                <w:sz w:val="21"/>
                <w:szCs w:val="21"/>
                <w:u w:val="single"/>
                <w:lang w:val="en-US" w:eastAsia="ko-KR"/>
              </w:rPr>
            </w:pPr>
            <w:r>
              <w:rPr>
                <w:rFonts w:hint="eastAsia"/>
                <w:b/>
                <w:sz w:val="21"/>
                <w:szCs w:val="21"/>
                <w:u w:val="single"/>
                <w:lang w:val="en-US" w:eastAsia="ko-KR"/>
              </w:rPr>
              <w:t>Issue 1-</w:t>
            </w:r>
            <w:r>
              <w:rPr>
                <w:rFonts w:hint="eastAsia"/>
                <w:b/>
                <w:sz w:val="21"/>
                <w:szCs w:val="21"/>
                <w:u w:val="single"/>
                <w:lang w:val="en-US" w:eastAsia="zh-CN"/>
              </w:rPr>
              <w:t>4-5</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UE performing measurements on FR1 TDD band</w:t>
            </w:r>
          </w:p>
          <w:p>
            <w:pPr>
              <w:keepLines w:val="0"/>
              <w:pageBreakBefore w:val="0"/>
              <w:widowControl/>
              <w:kinsoku/>
              <w:wordWrap/>
              <w:overflowPunct/>
              <w:topLinePunct w:val="0"/>
              <w:autoSpaceDE/>
              <w:bidi w:val="0"/>
              <w:adjustRightInd/>
              <w:textAlignment w:val="auto"/>
              <w:rPr>
                <w:highlight w:val="green"/>
                <w:lang w:eastAsia="zh-CN"/>
              </w:rPr>
            </w:pPr>
            <w:r>
              <w:rPr>
                <w:rFonts w:hint="eastAsia"/>
                <w:highlight w:val="green"/>
                <w:lang w:eastAsia="zh-CN"/>
              </w:rPr>
              <w:t>A</w:t>
            </w:r>
            <w:r>
              <w:rPr>
                <w:highlight w:val="green"/>
                <w:lang w:eastAsia="zh-CN"/>
              </w:rPr>
              <w:t>greement:</w:t>
            </w:r>
          </w:p>
          <w:p>
            <w:pPr>
              <w:keepLines w:val="0"/>
              <w:pageBreakBefore w:val="0"/>
              <w:widowControl/>
              <w:numPr>
                <w:ilvl w:val="0"/>
                <w:numId w:val="6"/>
              </w:numPr>
              <w:kinsoku/>
              <w:wordWrap/>
              <w:overflowPunct/>
              <w:topLinePunct w:val="0"/>
              <w:autoSpaceDE/>
              <w:bidi w:val="0"/>
              <w:adjustRightInd/>
              <w:ind w:left="600"/>
              <w:textAlignment w:val="auto"/>
              <w:rPr>
                <w:rFonts w:eastAsia="宋体"/>
                <w:sz w:val="21"/>
                <w:szCs w:val="21"/>
                <w:lang w:val="en-US" w:eastAsia="zh-CN"/>
              </w:rPr>
            </w:pPr>
            <w:r>
              <w:rPr>
                <w:rFonts w:hint="eastAsia" w:eastAsia="宋体"/>
                <w:sz w:val="21"/>
                <w:szCs w:val="21"/>
                <w:lang w:val="en-US" w:eastAsia="zh-CN"/>
              </w:rPr>
              <w:t>For intra/inter-frequency measurement without MG and CSI-RS based intra-frequency measurements, the scheduling restriction extension to intra-band/inter-band CA is identified for R19 ATG</w:t>
            </w:r>
          </w:p>
          <w:p>
            <w:pPr>
              <w:keepLines w:val="0"/>
              <w:pageBreakBefore w:val="0"/>
              <w:widowControl/>
              <w:numPr>
                <w:ilvl w:val="1"/>
                <w:numId w:val="6"/>
              </w:numPr>
              <w:kinsoku/>
              <w:wordWrap/>
              <w:overflowPunct/>
              <w:topLinePunct w:val="0"/>
              <w:autoSpaceDE/>
              <w:bidi w:val="0"/>
              <w:adjustRightInd/>
              <w:ind w:left="1020"/>
              <w:textAlignment w:val="auto"/>
              <w:rPr>
                <w:rFonts w:eastAsia="宋体"/>
                <w:sz w:val="21"/>
                <w:szCs w:val="21"/>
                <w:lang w:val="en-US" w:eastAsia="zh-CN"/>
              </w:rPr>
            </w:pPr>
            <w:r>
              <w:rPr>
                <w:rFonts w:hint="eastAsia" w:eastAsia="宋体"/>
                <w:sz w:val="21"/>
                <w:szCs w:val="21"/>
                <w:lang w:val="en-US" w:eastAsia="zh-CN"/>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keepLines w:val="0"/>
              <w:pageBreakBefore w:val="0"/>
              <w:widowControl/>
              <w:numPr>
                <w:ilvl w:val="1"/>
                <w:numId w:val="6"/>
              </w:numPr>
              <w:kinsoku/>
              <w:wordWrap/>
              <w:overflowPunct/>
              <w:topLinePunct w:val="0"/>
              <w:autoSpaceDE/>
              <w:bidi w:val="0"/>
              <w:adjustRightInd/>
              <w:ind w:left="1020"/>
              <w:textAlignment w:val="auto"/>
              <w:rPr>
                <w:rFonts w:hint="default" w:eastAsia="宋体"/>
                <w:sz w:val="21"/>
                <w:szCs w:val="21"/>
                <w:lang w:val="en-US" w:eastAsia="zh-CN"/>
              </w:rPr>
            </w:pPr>
            <w:r>
              <w:rPr>
                <w:rFonts w:hint="eastAsia" w:eastAsia="宋体"/>
                <w:sz w:val="21"/>
                <w:szCs w:val="21"/>
                <w:lang w:val="en-US" w:eastAsia="zh-CN"/>
              </w:rPr>
              <w:t>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further analysis on remaining RRM aspects of R19 ATG.</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From the perspective of RRM, compared with R18 ATG, the main new feature of R19 ATG is the support of FR1 intra-band/inter-band co-located DL CA. Around this new feature, we need to identify whether potential enhancements is necessary in R19.</w:t>
      </w:r>
    </w:p>
    <w:p>
      <w:pPr>
        <w:pStyle w:val="3"/>
        <w:numPr>
          <w:ilvl w:val="0"/>
          <w:numId w:val="0"/>
        </w:numPr>
        <w:bidi w:val="0"/>
        <w:ind w:leftChars="0"/>
        <w:rPr>
          <w:rFonts w:hint="eastAsia"/>
          <w:lang w:val="en-US" w:eastAsia="zh-CN"/>
        </w:rPr>
      </w:pPr>
      <w:r>
        <w:rPr>
          <w:rFonts w:hint="eastAsia"/>
          <w:lang w:val="en-US" w:eastAsia="zh-CN"/>
        </w:rPr>
        <w:t>2.1 General</w:t>
      </w:r>
    </w:p>
    <w:p>
      <w:pPr>
        <w:pStyle w:val="9"/>
        <w:numPr>
          <w:ilvl w:val="0"/>
          <w:numId w:val="0"/>
        </w:numPr>
        <w:bidi w:val="0"/>
        <w:ind w:leftChars="0"/>
        <w:rPr>
          <w:rFonts w:hint="eastAsia"/>
          <w:lang w:val="en-US" w:eastAsia="zh-CN"/>
        </w:rPr>
      </w:pPr>
      <w:r>
        <w:rPr>
          <w:rFonts w:hint="eastAsia"/>
          <w:lang w:val="en-US" w:eastAsia="zh-CN"/>
        </w:rPr>
        <w:t>During previous meetings, the assumption on UE antenna type was warmly discussed. The only suspending point is whether to consider Case 4 for inter-band CA. During discussion, companies proposed to check with RF session to down-select between the following two understanding: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bidi w:val="0"/>
              <w:adjustRightInd/>
              <w:snapToGrid w:val="0"/>
              <w:textAlignment w:val="auto"/>
              <w:rPr>
                <w:rFonts w:hint="default" w:eastAsia="等线"/>
                <w:sz w:val="21"/>
                <w:szCs w:val="21"/>
                <w:highlight w:val="yellow"/>
                <w:lang w:val="en-US" w:eastAsia="zh-CN"/>
              </w:rPr>
            </w:pPr>
            <w:r>
              <w:rPr>
                <w:rFonts w:eastAsia="等线"/>
                <w:sz w:val="21"/>
                <w:szCs w:val="21"/>
                <w:highlight w:val="yellow"/>
                <w:lang w:eastAsia="zh-CN"/>
              </w:rPr>
              <w:t>Further check which understanding is correct:</w:t>
            </w:r>
            <w:r>
              <w:rPr>
                <w:rFonts w:hint="eastAsia" w:eastAsia="等线"/>
                <w:sz w:val="21"/>
                <w:szCs w:val="21"/>
                <w:highlight w:val="yellow"/>
                <w:lang w:val="en-US" w:eastAsia="zh-CN"/>
              </w:rPr>
              <w:t>(112bis meeting)</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kern w:val="2"/>
                <w:sz w:val="21"/>
                <w:szCs w:val="21"/>
                <w:highlight w:val="none"/>
                <w:lang w:val="en-US" w:eastAsia="zh-CN"/>
              </w:rPr>
            </w:pPr>
            <w:r>
              <w:rPr>
                <w:rFonts w:hint="eastAsia" w:eastAsia="等线"/>
                <w:kern w:val="2"/>
                <w:sz w:val="21"/>
                <w:szCs w:val="21"/>
                <w:highlight w:val="none"/>
                <w:lang w:val="en-US" w:eastAsia="zh-CN"/>
              </w:rPr>
              <w:t>U</w:t>
            </w:r>
            <w:r>
              <w:rPr>
                <w:rFonts w:eastAsia="等线"/>
                <w:kern w:val="2"/>
                <w:sz w:val="21"/>
                <w:szCs w:val="21"/>
                <w:highlight w:val="none"/>
                <w:lang w:val="en-US" w:eastAsia="zh-CN"/>
              </w:rPr>
              <w:t>nderstanding #1: Case 4 is excluded in RF session.</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vertAlign w:val="baseline"/>
                <w:lang w:val="en-US" w:eastAsia="zh-CN"/>
              </w:rPr>
            </w:pPr>
            <w:r>
              <w:rPr>
                <w:rFonts w:eastAsia="等线"/>
                <w:kern w:val="2"/>
                <w:sz w:val="21"/>
                <w:szCs w:val="21"/>
                <w:highlight w:val="none"/>
                <w:lang w:val="en-US" w:eastAsia="zh-CN"/>
              </w:rPr>
              <w:t xml:space="preserve">Understanding #2: Case 4 is not explicitly discussed in RF session, since no case 4 specific RF requirement. Case 4 UE implementation is possible. </w:t>
            </w:r>
          </w:p>
          <w:p>
            <w:pPr>
              <w:snapToGrid w:val="0"/>
              <w:spacing w:after="120"/>
              <w:rPr>
                <w:rFonts w:hint="default" w:eastAsia="等线"/>
                <w:sz w:val="21"/>
                <w:szCs w:val="21"/>
                <w:lang w:val="en-US" w:eastAsia="zh-CN"/>
              </w:rPr>
            </w:pPr>
            <w:r>
              <w:rPr>
                <w:rFonts w:hint="eastAsia" w:eastAsia="等线"/>
                <w:sz w:val="21"/>
                <w:szCs w:val="21"/>
                <w:highlight w:val="yellow"/>
                <w:lang w:val="en-US" w:eastAsia="zh-CN"/>
              </w:rPr>
              <w:t>FFS(113 meeting)</w:t>
            </w:r>
          </w:p>
          <w:p>
            <w:pPr>
              <w:numPr>
                <w:ilvl w:val="0"/>
                <w:numId w:val="6"/>
              </w:numPr>
              <w:spacing w:after="120"/>
              <w:ind w:left="600"/>
              <w:rPr>
                <w:rFonts w:eastAsia="宋体"/>
                <w:sz w:val="21"/>
                <w:szCs w:val="21"/>
                <w:lang w:val="en-US" w:eastAsia="zh-CN"/>
              </w:rPr>
            </w:pPr>
            <w:r>
              <w:rPr>
                <w:rFonts w:hint="eastAsia" w:eastAsia="宋体"/>
                <w:sz w:val="21"/>
                <w:szCs w:val="21"/>
                <w:lang w:val="en-US" w:eastAsia="zh-CN"/>
              </w:rPr>
              <w:t xml:space="preserve">Proposal </w:t>
            </w:r>
            <w:r>
              <w:rPr>
                <w:rFonts w:eastAsia="宋体"/>
                <w:sz w:val="21"/>
                <w:szCs w:val="21"/>
                <w:lang w:val="en-US" w:eastAsia="zh-CN"/>
              </w:rPr>
              <w:t xml:space="preserve">1: </w:t>
            </w:r>
            <w:r>
              <w:rPr>
                <w:rFonts w:hint="eastAsia" w:eastAsia="宋体"/>
                <w:sz w:val="21"/>
                <w:szCs w:val="21"/>
                <w:lang w:val="en-US" w:eastAsia="zh-CN"/>
              </w:rPr>
              <w:t>To support Case 4 antenna type, MRTD, reception power difference for two bands, and DL frequency separation should be restricted to avoid critical receving performance degradataion, e.g., conditions for intra-band NCCA operation</w:t>
            </w:r>
            <w:r>
              <w:rPr>
                <w:rFonts w:eastAsia="宋体"/>
                <w:sz w:val="21"/>
                <w:szCs w:val="21"/>
                <w:lang w:val="en-US" w:eastAsia="zh-CN"/>
              </w:rPr>
              <w:t>.</w:t>
            </w:r>
          </w:p>
          <w:p>
            <w:pPr>
              <w:numPr>
                <w:ilvl w:val="0"/>
                <w:numId w:val="6"/>
              </w:numPr>
              <w:spacing w:after="0"/>
              <w:ind w:left="600"/>
              <w:rPr>
                <w:rFonts w:eastAsia="宋体"/>
                <w:sz w:val="21"/>
                <w:szCs w:val="21"/>
                <w:lang w:val="en-US" w:eastAsia="zh-CN"/>
              </w:rPr>
            </w:pPr>
            <w:r>
              <w:rPr>
                <w:rFonts w:hint="eastAsia" w:eastAsia="宋体" w:cs="Times New Roman"/>
                <w:sz w:val="21"/>
                <w:szCs w:val="21"/>
                <w:lang w:val="en-US" w:eastAsia="zh-CN"/>
              </w:rPr>
              <w:t xml:space="preserve">Proposal </w:t>
            </w:r>
            <w:r>
              <w:rPr>
                <w:rFonts w:hint="eastAsia" w:ascii="Times New Roman" w:hAnsi="Times New Roman" w:eastAsia="宋体" w:cs="Times New Roman"/>
                <w:sz w:val="21"/>
                <w:szCs w:val="21"/>
                <w:lang w:val="en-US" w:eastAsia="zh-CN"/>
              </w:rPr>
              <w:t xml:space="preserve">2: </w:t>
            </w:r>
            <w:r>
              <w:rPr>
                <w:rFonts w:hint="eastAsia" w:ascii="Times New Roman" w:hAnsi="Times New Roman" w:eastAsia="宋体" w:cs="Times New Roman"/>
                <w:b w:val="0"/>
                <w:bCs w:val="0"/>
                <w:sz w:val="21"/>
                <w:szCs w:val="21"/>
                <w:lang w:val="en-US" w:eastAsia="zh-CN"/>
              </w:rPr>
              <w:t>Confirm the understanding #2: Case 4 is not explicitly discussed in RF session, since no case 4 specific RF requirement. Case 4 UE implementation is possible.</w:t>
            </w:r>
          </w:p>
          <w:p>
            <w:pPr>
              <w:numPr>
                <w:ilvl w:val="0"/>
                <w:numId w:val="6"/>
              </w:numPr>
              <w:spacing w:after="120"/>
              <w:ind w:left="600"/>
              <w:rPr>
                <w:rFonts w:eastAsia="宋体"/>
                <w:sz w:val="21"/>
                <w:szCs w:val="21"/>
                <w:lang w:val="en-US" w:eastAsia="zh-CN"/>
              </w:rPr>
            </w:pPr>
            <w:r>
              <w:rPr>
                <w:rFonts w:hint="eastAsia" w:eastAsia="宋体"/>
                <w:sz w:val="21"/>
                <w:szCs w:val="21"/>
                <w:lang w:val="en-US" w:eastAsia="zh-CN"/>
              </w:rPr>
              <w:t>Proposal 3: Wait for more progress from RF session.</w:t>
            </w:r>
          </w:p>
          <w:p>
            <w:pPr>
              <w:numPr>
                <w:ilvl w:val="1"/>
                <w:numId w:val="6"/>
              </w:numPr>
              <w:spacing w:after="120"/>
              <w:rPr>
                <w:rFonts w:hint="default"/>
                <w:vertAlign w:val="baseline"/>
                <w:lang w:val="en-US" w:eastAsia="zh-CN"/>
              </w:rPr>
            </w:pPr>
            <w:r>
              <w:rPr>
                <w:rFonts w:hint="default" w:eastAsia="宋体"/>
                <w:sz w:val="21"/>
                <w:szCs w:val="21"/>
                <w:lang w:val="en-US" w:eastAsia="zh-CN"/>
              </w:rPr>
              <w:t xml:space="preserve">Proposal </w:t>
            </w:r>
            <w:r>
              <w:rPr>
                <w:rFonts w:hint="eastAsia" w:eastAsia="宋体"/>
                <w:sz w:val="21"/>
                <w:szCs w:val="21"/>
                <w:lang w:val="en-US" w:eastAsia="zh-CN"/>
              </w:rPr>
              <w:t xml:space="preserve">3-1: If the implementation of Case 4 is not excluded in RF session, RRM requirement and related UE capability should be defined, details can be discussed later. </w:t>
            </w:r>
          </w:p>
        </w:tc>
      </w:tr>
    </w:tbl>
    <w:p>
      <w:pPr>
        <w:pStyle w:val="9"/>
        <w:numPr>
          <w:ilvl w:val="0"/>
          <w:numId w:val="0"/>
        </w:numPr>
        <w:bidi w:val="0"/>
        <w:ind w:leftChars="0"/>
        <w:rPr>
          <w:rFonts w:hint="eastAsia"/>
          <w:lang w:val="en-US" w:eastAsia="zh-CN"/>
        </w:rPr>
      </w:pPr>
      <w:r>
        <w:rPr>
          <w:rFonts w:hint="eastAsia"/>
          <w:lang w:val="en-US" w:eastAsia="zh-CN"/>
        </w:rPr>
        <w:t>From the perspective of ATG application in practice, both Case 4 and Case 5 are possible and feasible. No matter whether the ATG CPE is more powerful than normal UE or not, limited by the very complicated environment in the airplane, multiple instruments and cables are already deployed in the airplane, so the  acceptable size for antenna panel or CPE is very limited, we can not assume everything in existing TN system is still effective in ATG CPE. Furthermore, R19 ATG focus on lo-located deployment, common Rx beam assumption is feasible and straightforward for both intra-band CA and inter-band CA.</w:t>
      </w:r>
    </w:p>
    <w:p>
      <w:pPr>
        <w:pStyle w:val="9"/>
        <w:numPr>
          <w:ilvl w:val="0"/>
          <w:numId w:val="0"/>
        </w:numPr>
        <w:bidi w:val="0"/>
        <w:ind w:leftChars="0"/>
        <w:rPr>
          <w:rFonts w:hint="eastAsia"/>
          <w:lang w:val="en-US" w:eastAsia="zh-CN"/>
        </w:rPr>
      </w:pPr>
      <w:r>
        <w:rPr>
          <w:rFonts w:hint="eastAsia"/>
          <w:lang w:val="en-US" w:eastAsia="zh-CN"/>
        </w:rPr>
        <w:t xml:space="preserve">We checked the conclusion and discussion in RF session during last meeting, this case was discussed in RF session but failed to conclude anything. Some companies showed concern on the exact antenna panel assumption for different band combination example. We can understand these concern due to different CPE vendors may have their own implementations, after all not any formal definition on antenna panel or antenna array was captured in spec. </w:t>
      </w:r>
    </w:p>
    <w:p>
      <w:pPr>
        <w:pStyle w:val="9"/>
        <w:numPr>
          <w:ilvl w:val="0"/>
          <w:numId w:val="0"/>
        </w:numPr>
        <w:bidi w:val="0"/>
        <w:ind w:leftChars="0"/>
        <w:rPr>
          <w:rFonts w:hint="default"/>
          <w:lang w:val="en-US" w:eastAsia="zh-CN"/>
        </w:rPr>
      </w:pPr>
      <w:r>
        <w:rPr>
          <w:rFonts w:hint="eastAsia"/>
          <w:lang w:val="en-US" w:eastAsia="zh-CN"/>
        </w:rPr>
        <w:t>Actually from RRM perspective, what we should pay more attention is only the Rx beam assumption, i.e. whether common or separate Rx beam is assumed. We do not intend to preclude or limit any possible antenna implementation in practice for inter-band CA. Starting from this point, we suggest not to emphasize the number of antenna, just focus on the Rx beam, the Case 4 and 5 can be refined as below and keep both of them.</w:t>
      </w:r>
    </w:p>
    <w:p>
      <w:pPr>
        <w:numPr>
          <w:ilvl w:val="2"/>
          <w:numId w:val="6"/>
        </w:numPr>
        <w:autoSpaceDN w:val="0"/>
        <w:spacing w:after="120"/>
        <w:ind w:left="1440" w:leftChars="0"/>
        <w:rPr>
          <w:rFonts w:eastAsia="等线"/>
          <w:kern w:val="2"/>
          <w:sz w:val="21"/>
          <w:szCs w:val="21"/>
          <w:highlight w:val="none"/>
          <w:lang w:val="en-US" w:eastAsia="zh-CN"/>
        </w:rPr>
      </w:pPr>
      <w:r>
        <w:rPr>
          <w:rFonts w:eastAsia="等线"/>
          <w:strike/>
          <w:dstrike w:val="0"/>
          <w:kern w:val="2"/>
          <w:sz w:val="21"/>
          <w:szCs w:val="21"/>
          <w:highlight w:val="none"/>
          <w:lang w:val="en-US" w:eastAsia="zh-CN"/>
        </w:rPr>
        <w:t>[</w:t>
      </w:r>
      <w:r>
        <w:rPr>
          <w:rFonts w:eastAsia="等线"/>
          <w:kern w:val="2"/>
          <w:sz w:val="21"/>
          <w:szCs w:val="21"/>
          <w:highlight w:val="none"/>
          <w:lang w:val="en-US" w:eastAsia="zh-CN"/>
        </w:rPr>
        <w:t xml:space="preserve">4. ATG UE with </w:t>
      </w:r>
      <w:r>
        <w:rPr>
          <w:rFonts w:eastAsia="等线"/>
          <w:strike/>
          <w:kern w:val="2"/>
          <w:sz w:val="21"/>
          <w:szCs w:val="21"/>
          <w:highlight w:val="yellow"/>
          <w:lang w:val="en-US" w:eastAsia="zh-CN"/>
        </w:rPr>
        <w:t>an</w:t>
      </w:r>
      <w:r>
        <w:rPr>
          <w:rFonts w:eastAsia="等线"/>
          <w:kern w:val="2"/>
          <w:sz w:val="21"/>
          <w:szCs w:val="21"/>
          <w:highlight w:val="yellow"/>
          <w:lang w:val="en-US" w:eastAsia="zh-CN"/>
        </w:rPr>
        <w:t xml:space="preserve"> </w:t>
      </w:r>
      <w:r>
        <w:rPr>
          <w:rFonts w:eastAsia="等线"/>
          <w:kern w:val="2"/>
          <w:sz w:val="21"/>
          <w:szCs w:val="21"/>
          <w:highlight w:val="none"/>
          <w:lang w:val="en-US" w:eastAsia="zh-CN"/>
        </w:rPr>
        <w:t>antenna array</w:t>
      </w:r>
      <w:r>
        <w:rPr>
          <w:rFonts w:hint="eastAsia" w:eastAsia="等线"/>
          <w:kern w:val="2"/>
          <w:sz w:val="21"/>
          <w:szCs w:val="21"/>
          <w:highlight w:val="yellow"/>
          <w:lang w:val="en-US" w:eastAsia="zh-CN"/>
        </w:rPr>
        <w:t>(s)</w:t>
      </w:r>
      <w:r>
        <w:rPr>
          <w:rFonts w:eastAsia="等线"/>
          <w:kern w:val="2"/>
          <w:sz w:val="21"/>
          <w:szCs w:val="21"/>
          <w:highlight w:val="none"/>
          <w:lang w:val="en-US" w:eastAsia="zh-CN"/>
        </w:rPr>
        <w:t xml:space="preserve"> on the bands of PCC and SCC, and one common Rx beam assumed.</w:t>
      </w:r>
      <w:r>
        <w:rPr>
          <w:rFonts w:eastAsia="等线"/>
          <w:strike/>
          <w:dstrike w:val="0"/>
          <w:kern w:val="2"/>
          <w:sz w:val="21"/>
          <w:szCs w:val="21"/>
          <w:highlight w:val="none"/>
          <w:lang w:val="en-US" w:eastAsia="zh-CN"/>
        </w:rPr>
        <w:t>]</w:t>
      </w:r>
    </w:p>
    <w:p>
      <w:pPr>
        <w:numPr>
          <w:ilvl w:val="2"/>
          <w:numId w:val="6"/>
        </w:numPr>
        <w:autoSpaceDN w:val="0"/>
        <w:spacing w:after="120"/>
        <w:ind w:left="1440" w:leftChars="0"/>
        <w:rPr>
          <w:rFonts w:eastAsia="等线"/>
          <w:kern w:val="2"/>
          <w:sz w:val="21"/>
          <w:szCs w:val="21"/>
          <w:highlight w:val="none"/>
          <w:lang w:val="en-US" w:eastAsia="zh-CN"/>
        </w:rPr>
      </w:pPr>
      <w:r>
        <w:rPr>
          <w:rFonts w:eastAsia="等线"/>
          <w:kern w:val="2"/>
          <w:sz w:val="21"/>
          <w:szCs w:val="21"/>
          <w:highlight w:val="none"/>
          <w:lang w:val="en-US" w:eastAsia="zh-CN"/>
        </w:rPr>
        <w:t xml:space="preserve">5. ATG UE with </w:t>
      </w:r>
      <w:r>
        <w:rPr>
          <w:rFonts w:eastAsia="等线"/>
          <w:strike/>
          <w:kern w:val="2"/>
          <w:sz w:val="21"/>
          <w:szCs w:val="21"/>
          <w:highlight w:val="yellow"/>
          <w:lang w:val="en-US" w:eastAsia="zh-CN"/>
        </w:rPr>
        <w:t>an</w:t>
      </w:r>
      <w:r>
        <w:rPr>
          <w:rFonts w:eastAsia="等线"/>
          <w:kern w:val="2"/>
          <w:sz w:val="21"/>
          <w:szCs w:val="21"/>
          <w:highlight w:val="yellow"/>
          <w:lang w:val="en-US" w:eastAsia="zh-CN"/>
        </w:rPr>
        <w:t xml:space="preserve"> </w:t>
      </w:r>
      <w:r>
        <w:rPr>
          <w:rFonts w:eastAsia="等线"/>
          <w:kern w:val="2"/>
          <w:sz w:val="21"/>
          <w:szCs w:val="21"/>
          <w:highlight w:val="none"/>
          <w:lang w:val="en-US" w:eastAsia="zh-CN"/>
        </w:rPr>
        <w:t>antenna array</w:t>
      </w:r>
      <w:r>
        <w:rPr>
          <w:rFonts w:hint="eastAsia" w:eastAsia="等线"/>
          <w:kern w:val="2"/>
          <w:sz w:val="21"/>
          <w:szCs w:val="21"/>
          <w:highlight w:val="yellow"/>
          <w:lang w:val="en-US" w:eastAsia="zh-CN"/>
        </w:rPr>
        <w:t>(s)</w:t>
      </w:r>
      <w:r>
        <w:rPr>
          <w:rFonts w:eastAsia="等线"/>
          <w:kern w:val="2"/>
          <w:sz w:val="21"/>
          <w:szCs w:val="21"/>
          <w:highlight w:val="none"/>
          <w:lang w:val="en-US" w:eastAsia="zh-CN"/>
        </w:rPr>
        <w:t xml:space="preserve"> on the bands of PCC and SCC, and two simultaneous separate Rx beams assumed.</w:t>
      </w:r>
    </w:p>
    <w:p>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b/>
          <w:bCs/>
          <w:lang w:val="en-US" w:eastAsia="zh-CN"/>
        </w:rPr>
      </w:pPr>
      <w:r>
        <w:rPr>
          <w:rFonts w:hint="eastAsia"/>
          <w:b/>
          <w:bCs/>
          <w:lang w:val="en-US" w:eastAsia="zh-CN"/>
        </w:rPr>
        <w:t>Proposal 1: Pay more attention to the Rx beam assumption instead of antenna assumption, not preclude any possible antenna implementation for inter-band CA. Refine the Case 4 and Case 5 as below and keep both of them:</w:t>
      </w:r>
    </w:p>
    <w:p>
      <w:pPr>
        <w:numPr>
          <w:ilvl w:val="0"/>
          <w:numId w:val="6"/>
        </w:numPr>
        <w:autoSpaceDN w:val="0"/>
        <w:spacing w:after="120"/>
        <w:ind w:left="600" w:leftChars="0"/>
        <w:rPr>
          <w:rFonts w:eastAsia="等线"/>
          <w:b/>
          <w:bCs/>
          <w:kern w:val="2"/>
          <w:sz w:val="21"/>
          <w:szCs w:val="21"/>
          <w:highlight w:val="none"/>
          <w:lang w:val="en-US" w:eastAsia="zh-CN"/>
        </w:rPr>
      </w:pPr>
      <w:r>
        <w:rPr>
          <w:rFonts w:hint="eastAsia"/>
          <w:b/>
          <w:bCs/>
          <w:lang w:val="en-US" w:eastAsia="zh-CN"/>
        </w:rPr>
        <w:t xml:space="preserve">Case </w:t>
      </w:r>
      <w:r>
        <w:rPr>
          <w:rFonts w:eastAsia="等线"/>
          <w:b/>
          <w:bCs/>
          <w:kern w:val="2"/>
          <w:sz w:val="21"/>
          <w:szCs w:val="21"/>
          <w:highlight w:val="none"/>
          <w:lang w:val="en-US" w:eastAsia="zh-CN"/>
        </w:rPr>
        <w:t xml:space="preserve">4. ATG UE with </w:t>
      </w:r>
      <w:r>
        <w:rPr>
          <w:rFonts w:eastAsia="等线"/>
          <w:b/>
          <w:bCs/>
          <w:strike/>
          <w:kern w:val="2"/>
          <w:sz w:val="21"/>
          <w:szCs w:val="21"/>
          <w:highlight w:val="yellow"/>
          <w:lang w:val="en-US" w:eastAsia="zh-CN"/>
        </w:rPr>
        <w:t>an</w:t>
      </w:r>
      <w:r>
        <w:rPr>
          <w:rFonts w:eastAsia="等线"/>
          <w:b/>
          <w:bCs/>
          <w:kern w:val="2"/>
          <w:sz w:val="21"/>
          <w:szCs w:val="21"/>
          <w:highlight w:val="yellow"/>
          <w:lang w:val="en-US" w:eastAsia="zh-CN"/>
        </w:rPr>
        <w:t xml:space="preserve"> </w:t>
      </w:r>
      <w:r>
        <w:rPr>
          <w:rFonts w:eastAsia="等线"/>
          <w:b/>
          <w:bCs/>
          <w:kern w:val="2"/>
          <w:sz w:val="21"/>
          <w:szCs w:val="21"/>
          <w:highlight w:val="none"/>
          <w:lang w:val="en-US" w:eastAsia="zh-CN"/>
        </w:rPr>
        <w:t>antenna array</w:t>
      </w:r>
      <w:r>
        <w:rPr>
          <w:rFonts w:hint="eastAsia" w:eastAsia="等线"/>
          <w:b/>
          <w:bCs/>
          <w:kern w:val="2"/>
          <w:sz w:val="21"/>
          <w:szCs w:val="21"/>
          <w:highlight w:val="yellow"/>
          <w:lang w:val="en-US" w:eastAsia="zh-CN"/>
        </w:rPr>
        <w:t>(s)</w:t>
      </w:r>
      <w:r>
        <w:rPr>
          <w:rFonts w:eastAsia="等线"/>
          <w:b/>
          <w:bCs/>
          <w:kern w:val="2"/>
          <w:sz w:val="21"/>
          <w:szCs w:val="21"/>
          <w:highlight w:val="none"/>
          <w:lang w:val="en-US" w:eastAsia="zh-CN"/>
        </w:rPr>
        <w:t xml:space="preserve"> on the bands of PCC and SCC, and one common Rx beam assumed.</w:t>
      </w:r>
    </w:p>
    <w:p>
      <w:pPr>
        <w:numPr>
          <w:ilvl w:val="0"/>
          <w:numId w:val="6"/>
        </w:numPr>
        <w:autoSpaceDN w:val="0"/>
        <w:spacing w:after="120"/>
        <w:ind w:left="600" w:leftChars="0"/>
        <w:rPr>
          <w:rFonts w:eastAsia="等线"/>
          <w:b/>
          <w:bCs/>
          <w:kern w:val="2"/>
          <w:sz w:val="21"/>
          <w:szCs w:val="21"/>
          <w:highlight w:val="none"/>
          <w:lang w:val="en-US" w:eastAsia="zh-CN"/>
        </w:rPr>
      </w:pPr>
      <w:r>
        <w:rPr>
          <w:rFonts w:hint="eastAsia" w:eastAsia="等线"/>
          <w:b/>
          <w:bCs/>
          <w:kern w:val="2"/>
          <w:sz w:val="21"/>
          <w:szCs w:val="21"/>
          <w:highlight w:val="none"/>
          <w:lang w:val="en-US" w:eastAsia="zh-CN"/>
        </w:rPr>
        <w:t xml:space="preserve">Case </w:t>
      </w:r>
      <w:r>
        <w:rPr>
          <w:rFonts w:eastAsia="等线"/>
          <w:b/>
          <w:bCs/>
          <w:kern w:val="2"/>
          <w:sz w:val="21"/>
          <w:szCs w:val="21"/>
          <w:highlight w:val="none"/>
          <w:lang w:val="en-US" w:eastAsia="zh-CN"/>
        </w:rPr>
        <w:t xml:space="preserve">5. ATG UE with </w:t>
      </w:r>
      <w:r>
        <w:rPr>
          <w:rFonts w:eastAsia="等线"/>
          <w:b/>
          <w:bCs/>
          <w:strike/>
          <w:kern w:val="2"/>
          <w:sz w:val="21"/>
          <w:szCs w:val="21"/>
          <w:highlight w:val="yellow"/>
          <w:lang w:val="en-US" w:eastAsia="zh-CN"/>
        </w:rPr>
        <w:t>an</w:t>
      </w:r>
      <w:r>
        <w:rPr>
          <w:rFonts w:eastAsia="等线"/>
          <w:b/>
          <w:bCs/>
          <w:kern w:val="2"/>
          <w:sz w:val="21"/>
          <w:szCs w:val="21"/>
          <w:highlight w:val="yellow"/>
          <w:lang w:val="en-US" w:eastAsia="zh-CN"/>
        </w:rPr>
        <w:t xml:space="preserve"> </w:t>
      </w:r>
      <w:r>
        <w:rPr>
          <w:rFonts w:eastAsia="等线"/>
          <w:b/>
          <w:bCs/>
          <w:kern w:val="2"/>
          <w:sz w:val="21"/>
          <w:szCs w:val="21"/>
          <w:highlight w:val="none"/>
          <w:lang w:val="en-US" w:eastAsia="zh-CN"/>
        </w:rPr>
        <w:t>antenna array</w:t>
      </w:r>
      <w:r>
        <w:rPr>
          <w:rFonts w:hint="eastAsia" w:eastAsia="等线"/>
          <w:b/>
          <w:bCs/>
          <w:kern w:val="2"/>
          <w:sz w:val="21"/>
          <w:szCs w:val="21"/>
          <w:highlight w:val="yellow"/>
          <w:lang w:val="en-US" w:eastAsia="zh-CN"/>
        </w:rPr>
        <w:t>(s)</w:t>
      </w:r>
      <w:r>
        <w:rPr>
          <w:rFonts w:eastAsia="等线"/>
          <w:b/>
          <w:bCs/>
          <w:kern w:val="2"/>
          <w:sz w:val="21"/>
          <w:szCs w:val="21"/>
          <w:highlight w:val="none"/>
          <w:lang w:val="en-US" w:eastAsia="zh-CN"/>
        </w:rPr>
        <w:t xml:space="preserve"> on the bands of PCC and SCC, and two simultaneous separate Rx beams assumed.</w:t>
      </w:r>
    </w:p>
    <w:p>
      <w:pPr>
        <w:pStyle w:val="9"/>
        <w:numPr>
          <w:ilvl w:val="0"/>
          <w:numId w:val="0"/>
        </w:numPr>
        <w:bidi w:val="0"/>
        <w:ind w:leftChars="0"/>
        <w:rPr>
          <w:rFonts w:hint="eastAsia"/>
          <w:lang w:val="en-US" w:eastAsia="zh-CN"/>
        </w:rPr>
      </w:pPr>
      <w:r>
        <w:rPr>
          <w:rFonts w:hint="eastAsia"/>
          <w:lang w:val="en-US" w:eastAsia="zh-CN"/>
        </w:rPr>
        <w:t xml:space="preserve">Since whether to apply Case 4 or Case 5 has RRM impact on at least scheduling restriction scheme, it is better to reach alignment between NW and UE in terms of Case 4 or Case 5 is applied. So some UE capability is needed. </w:t>
      </w:r>
    </w:p>
    <w:p>
      <w:pPr>
        <w:pStyle w:val="9"/>
        <w:numPr>
          <w:ilvl w:val="0"/>
          <w:numId w:val="0"/>
        </w:numPr>
        <w:bidi w:val="0"/>
        <w:ind w:leftChars="0"/>
        <w:rPr>
          <w:rFonts w:hint="default"/>
          <w:lang w:val="en-US" w:eastAsia="zh-CN"/>
        </w:rPr>
      </w:pPr>
      <w:r>
        <w:rPr>
          <w:rFonts w:hint="eastAsia"/>
          <w:lang w:val="en-US" w:eastAsia="zh-CN"/>
        </w:rPr>
        <w:t xml:space="preserve">In R18 ATG, RAN4 introduced a UE capability </w:t>
      </w:r>
      <w:r>
        <w:rPr>
          <w:rFonts w:hint="eastAsia"/>
          <w:i/>
          <w:iCs/>
          <w:lang w:val="en-US" w:eastAsia="zh-CN"/>
        </w:rPr>
        <w:t>antennaArrayType-r18</w:t>
      </w:r>
      <w:r>
        <w:rPr>
          <w:rFonts w:hint="eastAsia"/>
          <w:lang w:val="en-US" w:eastAsia="zh-CN"/>
        </w:rPr>
        <w:t xml:space="preserve"> to inform NW whether the UE supports phase antenna array or not, this UE capability is per band type. On top of this R18 UE capability, for the bands UE supporting phase antenna array, an additional UE capability of common or separate Rx beam could be further indicated to NW with the type of per BC.</w:t>
      </w:r>
    </w:p>
    <w:p>
      <w:pPr>
        <w:pStyle w:val="9"/>
        <w:numPr>
          <w:ilvl w:val="0"/>
          <w:numId w:val="0"/>
        </w:numPr>
        <w:bidi w:val="0"/>
        <w:ind w:leftChars="0"/>
        <w:rPr>
          <w:rFonts w:hint="eastAsia"/>
          <w:b/>
          <w:bCs/>
          <w:lang w:val="en-US" w:eastAsia="zh-CN"/>
        </w:rPr>
      </w:pPr>
      <w:r>
        <w:rPr>
          <w:rFonts w:hint="eastAsia"/>
          <w:b/>
          <w:bCs/>
          <w:lang w:val="en-US" w:eastAsia="zh-CN"/>
        </w:rPr>
        <w:t xml:space="preserve">Proposal 2: To differentiate Case 4 and Case 5, an additional UE capability to indicate common or separate Rx beam is needed with per BC type for the bands in which UE supporting phase antenna array. </w:t>
      </w:r>
    </w:p>
    <w:p>
      <w:pPr>
        <w:pStyle w:val="3"/>
        <w:numPr>
          <w:ilvl w:val="0"/>
          <w:numId w:val="0"/>
        </w:numPr>
        <w:bidi w:val="0"/>
        <w:ind w:leftChars="0"/>
        <w:rPr>
          <w:rFonts w:hint="default"/>
          <w:lang w:val="en-US" w:eastAsia="zh-CN"/>
        </w:rPr>
      </w:pPr>
      <w:r>
        <w:rPr>
          <w:rFonts w:hint="eastAsia"/>
          <w:lang w:val="en-US" w:eastAsia="zh-CN"/>
        </w:rPr>
        <w:t>2.2 Timing</w:t>
      </w:r>
    </w:p>
    <w:p>
      <w:pPr>
        <w:pStyle w:val="9"/>
        <w:numPr>
          <w:ilvl w:val="0"/>
          <w:numId w:val="0"/>
        </w:numPr>
        <w:bidi w:val="0"/>
        <w:ind w:leftChars="0"/>
        <w:rPr>
          <w:rFonts w:hint="default"/>
          <w:lang w:val="en-US" w:eastAsia="zh-CN"/>
        </w:rPr>
      </w:pPr>
      <w:r>
        <w:rPr>
          <w:rFonts w:hint="eastAsia"/>
          <w:lang w:val="en-US" w:eastAsia="zh-CN"/>
        </w:rPr>
        <w:t>For DL CA scenario, it is necessary to identify the requirements of MTRD. The existing MRTD and relevant BS TAE requirements for FR1 are summarized as below, to be more clear, we also list the CP length.</w:t>
      </w:r>
    </w:p>
    <w:tbl>
      <w:tblPr>
        <w:tblStyle w:val="18"/>
        <w:tblW w:w="924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6"/>
        <w:gridCol w:w="637"/>
        <w:gridCol w:w="1246"/>
        <w:gridCol w:w="1459"/>
        <w:gridCol w:w="1015"/>
        <w:gridCol w:w="739"/>
        <w:gridCol w:w="784"/>
        <w:gridCol w:w="7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Scenario</w:t>
            </w:r>
          </w:p>
        </w:tc>
        <w:tc>
          <w:tcPr>
            <w:tcW w:w="637"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FR</w:t>
            </w:r>
          </w:p>
        </w:tc>
        <w:tc>
          <w:tcPr>
            <w:tcW w:w="124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Sync/async</w:t>
            </w:r>
          </w:p>
        </w:tc>
        <w:tc>
          <w:tcPr>
            <w:tcW w:w="1459"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b/>
                <w:bCs/>
                <w:lang w:val="en-US" w:eastAsia="zh-CN"/>
              </w:rPr>
              <w:t xml:space="preserve">BS </w:t>
            </w:r>
            <w:r>
              <w:rPr>
                <w:b/>
                <w:bCs/>
                <w:lang w:val="en-US"/>
              </w:rPr>
              <w:t>TAE</w:t>
            </w:r>
          </w:p>
        </w:tc>
        <w:tc>
          <w:tcPr>
            <w:tcW w:w="1015" w:type="dxa"/>
            <w:tcBorders>
              <w:tl2br w:val="nil"/>
              <w:tr2bl w:val="nil"/>
            </w:tcBorders>
            <w:vAlign w:val="top"/>
          </w:tcPr>
          <w:p>
            <w:pPr>
              <w:pStyle w:val="35"/>
              <w:rPr>
                <w:lang w:val="en-US"/>
              </w:rPr>
            </w:pPr>
            <w:r>
              <w:rPr>
                <w:b/>
                <w:bCs/>
                <w:lang w:val="en-US"/>
              </w:rPr>
              <w:t>MRTD (us)</w:t>
            </w:r>
          </w:p>
        </w:tc>
        <w:tc>
          <w:tcPr>
            <w:tcW w:w="739" w:type="dxa"/>
            <w:tcBorders>
              <w:tl2br w:val="nil"/>
              <w:tr2bl w:val="nil"/>
            </w:tcBorders>
            <w:vAlign w:val="top"/>
          </w:tcPr>
          <w:p>
            <w:pPr>
              <w:pStyle w:val="35"/>
              <w:rPr>
                <w:rFonts w:hint="default" w:eastAsia="宋体"/>
                <w:b/>
                <w:bCs/>
                <w:lang w:val="en-US" w:eastAsia="zh-CN"/>
              </w:rPr>
            </w:pPr>
            <w:r>
              <w:rPr>
                <w:rFonts w:hint="eastAsia"/>
                <w:b/>
                <w:bCs/>
                <w:lang w:val="en-US" w:eastAsia="zh-CN"/>
              </w:rPr>
              <w:t>CP  15kHz</w:t>
            </w:r>
          </w:p>
        </w:tc>
        <w:tc>
          <w:tcPr>
            <w:tcW w:w="784" w:type="dxa"/>
            <w:tcBorders>
              <w:tl2br w:val="nil"/>
              <w:tr2bl w:val="nil"/>
            </w:tcBorders>
            <w:vAlign w:val="top"/>
          </w:tcPr>
          <w:p>
            <w:pPr>
              <w:pStyle w:val="35"/>
              <w:rPr>
                <w:b/>
                <w:bCs/>
                <w:lang w:val="en-US"/>
              </w:rPr>
            </w:pPr>
            <w:r>
              <w:rPr>
                <w:rFonts w:hint="eastAsia"/>
                <w:b/>
                <w:bCs/>
                <w:lang w:val="en-US" w:eastAsia="zh-CN"/>
              </w:rPr>
              <w:t>CP  30kHz</w:t>
            </w:r>
          </w:p>
        </w:tc>
        <w:tc>
          <w:tcPr>
            <w:tcW w:w="738" w:type="dxa"/>
            <w:tcBorders>
              <w:tl2br w:val="nil"/>
              <w:tr2bl w:val="nil"/>
            </w:tcBorders>
            <w:vAlign w:val="top"/>
          </w:tcPr>
          <w:p>
            <w:pPr>
              <w:pStyle w:val="35"/>
              <w:rPr>
                <w:rFonts w:hint="eastAsia"/>
                <w:b/>
                <w:bCs/>
                <w:lang w:val="en-US" w:eastAsia="zh-CN"/>
              </w:rPr>
            </w:pPr>
            <w:r>
              <w:rPr>
                <w:rFonts w:hint="eastAsia"/>
                <w:b/>
                <w:bCs/>
                <w:lang w:val="en-US" w:eastAsia="zh-CN"/>
              </w:rPr>
              <w:t>CP</w:t>
            </w:r>
          </w:p>
          <w:p>
            <w:pPr>
              <w:pStyle w:val="35"/>
              <w:rPr>
                <w:rFonts w:hint="default"/>
                <w:b/>
                <w:bCs/>
                <w:lang w:val="en-US" w:eastAsia="zh-CN"/>
              </w:rPr>
            </w:pPr>
            <w:r>
              <w:rPr>
                <w:rFonts w:hint="eastAsia"/>
                <w:b/>
                <w:bCs/>
                <w:lang w:val="en-US" w:eastAsia="zh-CN"/>
              </w:rPr>
              <w:t>60kHz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default" w:eastAsia="宋体"/>
                <w:b/>
                <w:bCs/>
                <w:lang w:val="en-US" w:eastAsia="zh-CN"/>
              </w:rPr>
            </w:pPr>
            <w:r>
              <w:rPr>
                <w:rFonts w:hint="eastAsia"/>
                <w:highlight w:val="none"/>
                <w:lang w:val="en-US" w:eastAsia="zh-CN"/>
              </w:rPr>
              <w:t xml:space="preserve">Intra-band contiguous </w:t>
            </w:r>
            <w:r>
              <w:rPr>
                <w:highlight w:val="none"/>
                <w:lang w:val="en-US"/>
              </w:rPr>
              <w:t>CA</w:t>
            </w:r>
          </w:p>
        </w:tc>
        <w:tc>
          <w:tcPr>
            <w:tcW w:w="637" w:type="dxa"/>
            <w:vMerge w:val="restart"/>
            <w:tcBorders>
              <w:tl2br w:val="nil"/>
              <w:tr2bl w:val="nil"/>
            </w:tcBorders>
            <w:vAlign w:val="top"/>
          </w:tcPr>
          <w:p>
            <w:pPr>
              <w:pStyle w:val="35"/>
              <w:rPr>
                <w:lang w:val="en-US"/>
              </w:rPr>
            </w:pPr>
            <w:r>
              <w:rPr>
                <w:lang w:val="en-US"/>
              </w:rPr>
              <w:t>FR1</w:t>
            </w:r>
          </w:p>
        </w:tc>
        <w:tc>
          <w:tcPr>
            <w:tcW w:w="1246" w:type="dxa"/>
            <w:vMerge w:val="restart"/>
            <w:tcBorders>
              <w:tl2br w:val="nil"/>
              <w:tr2bl w:val="nil"/>
            </w:tcBorders>
            <w:vAlign w:val="top"/>
          </w:tcPr>
          <w:p>
            <w:pPr>
              <w:pStyle w:val="35"/>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Sync</w:t>
            </w:r>
          </w:p>
        </w:tc>
        <w:tc>
          <w:tcPr>
            <w:tcW w:w="1459" w:type="dxa"/>
            <w:tcBorders>
              <w:tl2br w:val="nil"/>
              <w:tr2bl w:val="nil"/>
            </w:tcBorders>
            <w:vAlign w:val="top"/>
          </w:tcPr>
          <w:p>
            <w:pPr>
              <w:pStyle w:val="35"/>
              <w:rPr>
                <w:rFonts w:hint="default" w:eastAsia="宋体"/>
                <w:b/>
                <w:bCs/>
                <w:lang w:val="en-US" w:eastAsia="zh-CN"/>
              </w:rPr>
            </w:pPr>
            <w:r>
              <w:rPr>
                <w:rFonts w:hint="eastAsia" w:eastAsia="宋体" w:cs="Times New Roman"/>
                <w:lang w:val="en-US" w:eastAsia="zh-CN"/>
              </w:rPr>
              <w:t>130 - 260ns</w:t>
            </w:r>
          </w:p>
        </w:tc>
        <w:tc>
          <w:tcPr>
            <w:tcW w:w="1015" w:type="dxa"/>
            <w:tcBorders>
              <w:tl2br w:val="nil"/>
              <w:tr2bl w:val="nil"/>
            </w:tcBorders>
            <w:vAlign w:val="top"/>
          </w:tcPr>
          <w:p>
            <w:pPr>
              <w:pStyle w:val="35"/>
              <w:rPr>
                <w:rFonts w:hint="eastAsia" w:eastAsia="宋体"/>
                <w:b/>
                <w:bCs/>
                <w:lang w:val="en-US" w:eastAsia="zh-CN"/>
              </w:rPr>
            </w:pPr>
            <w:r>
              <w:rPr>
                <w:rFonts w:hint="eastAsia"/>
                <w:b w:val="0"/>
                <w:bCs w:val="0"/>
                <w:lang w:val="en-US" w:eastAsia="zh-CN"/>
              </w:rPr>
              <w:t>/</w:t>
            </w:r>
          </w:p>
        </w:tc>
        <w:tc>
          <w:tcPr>
            <w:tcW w:w="739"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4.7</w:t>
            </w:r>
            <w:r>
              <w:rPr>
                <w:rFonts w:hint="eastAsia" w:eastAsia="宋体" w:cs="Times New Roman"/>
                <w:lang w:val="en-US" w:eastAsia="zh-CN"/>
              </w:rPr>
              <w:t>µs</w:t>
            </w:r>
          </w:p>
        </w:tc>
        <w:tc>
          <w:tcPr>
            <w:tcW w:w="784"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2.3</w:t>
            </w:r>
            <w:r>
              <w:rPr>
                <w:rFonts w:hint="eastAsia" w:eastAsia="宋体" w:cs="Times New Roman"/>
                <w:lang w:val="en-US" w:eastAsia="zh-CN"/>
              </w:rPr>
              <w:t>µs</w:t>
            </w:r>
          </w:p>
        </w:tc>
        <w:tc>
          <w:tcPr>
            <w:tcW w:w="738"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1.2</w:t>
            </w:r>
            <w:r>
              <w:rPr>
                <w:rFonts w:hint="eastAsia" w:eastAsia="宋体" w:cs="Times New Roman"/>
                <w:lang w:val="en-US" w:eastAsia="zh-CN"/>
              </w:rPr>
              <w:t>µs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eastAsia"/>
                <w:lang w:val="en-US" w:eastAsia="zh-CN"/>
              </w:rPr>
            </w:pPr>
            <w:r>
              <w:rPr>
                <w:rFonts w:hint="eastAsia"/>
                <w:lang w:val="en-US" w:eastAsia="zh-CN"/>
              </w:rPr>
              <w:t xml:space="preserve">Intra-band non-contiguous </w:t>
            </w:r>
            <w:r>
              <w:rPr>
                <w:lang w:val="en-US"/>
              </w:rPr>
              <w:t>CA</w:t>
            </w:r>
          </w:p>
        </w:tc>
        <w:tc>
          <w:tcPr>
            <w:tcW w:w="637" w:type="dxa"/>
            <w:vMerge w:val="continue"/>
            <w:tcBorders>
              <w:tl2br w:val="nil"/>
              <w:tr2bl w:val="nil"/>
            </w:tcBorders>
            <w:vAlign w:val="top"/>
          </w:tcPr>
          <w:p>
            <w:pPr>
              <w:pStyle w:val="35"/>
              <w:rPr>
                <w:b/>
                <w:bCs/>
                <w:lang w:val="en-US"/>
              </w:rPr>
            </w:pPr>
          </w:p>
        </w:tc>
        <w:tc>
          <w:tcPr>
            <w:tcW w:w="1246" w:type="dxa"/>
            <w:vMerge w:val="continue"/>
            <w:tcBorders>
              <w:tl2br w:val="nil"/>
              <w:tr2bl w:val="nil"/>
            </w:tcBorders>
            <w:vAlign w:val="top"/>
          </w:tcPr>
          <w:p>
            <w:pPr>
              <w:pStyle w:val="35"/>
              <w:rPr>
                <w:rFonts w:ascii="Arial" w:hAnsi="Arial" w:eastAsia="宋体" w:cs="Times New Roman"/>
                <w:kern w:val="2"/>
                <w:sz w:val="18"/>
                <w:szCs w:val="24"/>
                <w:lang w:val="en-US" w:eastAsia="zh-CN" w:bidi="ar-SA"/>
              </w:rPr>
            </w:pPr>
          </w:p>
        </w:tc>
        <w:tc>
          <w:tcPr>
            <w:tcW w:w="1459"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rFonts w:hint="eastAsia" w:eastAsia="宋体" w:cs="Times New Roman"/>
                <w:lang w:val="en-US" w:eastAsia="zh-CN"/>
              </w:rPr>
              <w:t>260ns - 3µs</w:t>
            </w:r>
          </w:p>
        </w:tc>
        <w:tc>
          <w:tcPr>
            <w:tcW w:w="1015"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lang w:val="en-US" w:eastAsia="zh-CN"/>
              </w:rPr>
              <w:t>3</w:t>
            </w:r>
          </w:p>
        </w:tc>
        <w:tc>
          <w:tcPr>
            <w:tcW w:w="739" w:type="dxa"/>
            <w:vMerge w:val="continue"/>
            <w:tcBorders>
              <w:tl2br w:val="nil"/>
              <w:tr2bl w:val="nil"/>
            </w:tcBorders>
            <w:vAlign w:val="top"/>
          </w:tcPr>
          <w:p>
            <w:pPr>
              <w:pStyle w:val="35"/>
              <w:rPr>
                <w:rFonts w:hint="eastAsia"/>
                <w:lang w:val="en-US" w:eastAsia="zh-CN"/>
              </w:rPr>
            </w:pPr>
          </w:p>
        </w:tc>
        <w:tc>
          <w:tcPr>
            <w:tcW w:w="784" w:type="dxa"/>
            <w:vMerge w:val="continue"/>
            <w:tcBorders>
              <w:tl2br w:val="nil"/>
              <w:tr2bl w:val="nil"/>
            </w:tcBorders>
            <w:vAlign w:val="top"/>
          </w:tcPr>
          <w:p>
            <w:pPr>
              <w:pStyle w:val="35"/>
              <w:rPr>
                <w:rFonts w:hint="eastAsia"/>
                <w:lang w:val="en-US" w:eastAsia="zh-CN"/>
              </w:rPr>
            </w:pPr>
          </w:p>
        </w:tc>
        <w:tc>
          <w:tcPr>
            <w:tcW w:w="738" w:type="dxa"/>
            <w:vMerge w:val="continue"/>
            <w:tcBorders>
              <w:tl2br w:val="nil"/>
              <w:tr2bl w:val="nil"/>
            </w:tcBorders>
            <w:vAlign w:val="top"/>
          </w:tcPr>
          <w:p>
            <w:pPr>
              <w:pStyle w:val="35"/>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tcPr>
          <w:p>
            <w:pPr>
              <w:pStyle w:val="36"/>
              <w:rPr>
                <w:lang w:val="en-US"/>
              </w:rPr>
            </w:pPr>
            <w:r>
              <w:rPr>
                <w:rFonts w:hint="eastAsia"/>
                <w:highlight w:val="none"/>
                <w:lang w:val="en-US" w:eastAsia="zh-CN"/>
              </w:rPr>
              <w:t xml:space="preserve">Inter-band </w:t>
            </w:r>
            <w:r>
              <w:rPr>
                <w:highlight w:val="none"/>
                <w:lang w:val="en-US"/>
              </w:rPr>
              <w:t>CA</w:t>
            </w:r>
          </w:p>
        </w:tc>
        <w:tc>
          <w:tcPr>
            <w:tcW w:w="637" w:type="dxa"/>
            <w:vMerge w:val="continue"/>
            <w:tcBorders>
              <w:tl2br w:val="nil"/>
              <w:tr2bl w:val="nil"/>
            </w:tcBorders>
          </w:tcPr>
          <w:p>
            <w:pPr>
              <w:pStyle w:val="35"/>
              <w:rPr>
                <w:lang w:val="en-US"/>
              </w:rPr>
            </w:pPr>
          </w:p>
        </w:tc>
        <w:tc>
          <w:tcPr>
            <w:tcW w:w="1246" w:type="dxa"/>
            <w:vMerge w:val="continue"/>
            <w:tcBorders>
              <w:tl2br w:val="nil"/>
              <w:tr2bl w:val="nil"/>
            </w:tcBorders>
          </w:tcPr>
          <w:p>
            <w:pPr>
              <w:pStyle w:val="36"/>
              <w:jc w:val="center"/>
              <w:rPr>
                <w:rFonts w:ascii="Arial" w:hAnsi="Arial" w:eastAsia="宋体" w:cs="Times New Roman"/>
                <w:kern w:val="2"/>
                <w:sz w:val="18"/>
                <w:szCs w:val="24"/>
                <w:lang w:val="en-US" w:eastAsia="zh-CN" w:bidi="ar-SA"/>
              </w:rPr>
            </w:pPr>
          </w:p>
        </w:tc>
        <w:tc>
          <w:tcPr>
            <w:tcW w:w="1459" w:type="dxa"/>
            <w:tcBorders>
              <w:tl2br w:val="nil"/>
              <w:tr2bl w:val="nil"/>
            </w:tcBorders>
          </w:tcPr>
          <w:p>
            <w:pPr>
              <w:pStyle w:val="35"/>
              <w:rPr>
                <w:rFonts w:hint="eastAsia" w:eastAsia="宋体"/>
                <w:lang w:val="en-US" w:eastAsia="zh-CN"/>
              </w:rPr>
            </w:pPr>
            <w:r>
              <w:rPr>
                <w:rFonts w:hint="eastAsia"/>
                <w:lang w:val="en-US" w:eastAsia="zh-CN"/>
              </w:rPr>
              <w:t>3</w:t>
            </w:r>
            <w:r>
              <w:rPr>
                <w:rFonts w:hint="eastAsia" w:eastAsia="宋体" w:cs="Times New Roman"/>
                <w:lang w:val="en-US" w:eastAsia="zh-CN"/>
              </w:rPr>
              <w:t>µs</w:t>
            </w:r>
          </w:p>
        </w:tc>
        <w:tc>
          <w:tcPr>
            <w:tcW w:w="1015" w:type="dxa"/>
            <w:tcBorders>
              <w:tl2br w:val="nil"/>
              <w:tr2bl w:val="nil"/>
            </w:tcBorders>
          </w:tcPr>
          <w:p>
            <w:pPr>
              <w:pStyle w:val="35"/>
              <w:rPr>
                <w:lang w:val="en-US"/>
              </w:rPr>
            </w:pPr>
            <w:r>
              <w:rPr>
                <w:lang w:val="en-US"/>
              </w:rPr>
              <w:t>33</w:t>
            </w:r>
          </w:p>
        </w:tc>
        <w:tc>
          <w:tcPr>
            <w:tcW w:w="739" w:type="dxa"/>
            <w:vMerge w:val="continue"/>
            <w:tcBorders>
              <w:tl2br w:val="nil"/>
              <w:tr2bl w:val="nil"/>
            </w:tcBorders>
          </w:tcPr>
          <w:p>
            <w:pPr>
              <w:pStyle w:val="35"/>
              <w:rPr>
                <w:lang w:val="en-US"/>
              </w:rPr>
            </w:pPr>
          </w:p>
        </w:tc>
        <w:tc>
          <w:tcPr>
            <w:tcW w:w="784" w:type="dxa"/>
            <w:vMerge w:val="continue"/>
            <w:tcBorders>
              <w:tl2br w:val="nil"/>
              <w:tr2bl w:val="nil"/>
            </w:tcBorders>
          </w:tcPr>
          <w:p>
            <w:pPr>
              <w:pStyle w:val="35"/>
              <w:rPr>
                <w:lang w:val="en-US"/>
              </w:rPr>
            </w:pPr>
          </w:p>
        </w:tc>
        <w:tc>
          <w:tcPr>
            <w:tcW w:w="738" w:type="dxa"/>
            <w:vMerge w:val="continue"/>
            <w:tcBorders>
              <w:tl2br w:val="nil"/>
              <w:tr2bl w:val="nil"/>
            </w:tcBorders>
          </w:tcPr>
          <w:p>
            <w:pPr>
              <w:pStyle w:val="35"/>
              <w:rPr>
                <w:lang w:val="en-US"/>
              </w:rPr>
            </w:pPr>
          </w:p>
        </w:tc>
      </w:tr>
    </w:tbl>
    <w:p>
      <w:pPr>
        <w:pStyle w:val="9"/>
        <w:numPr>
          <w:ilvl w:val="0"/>
          <w:numId w:val="0"/>
        </w:numPr>
        <w:bidi w:val="0"/>
        <w:ind w:leftChars="0"/>
        <w:rPr>
          <w:rFonts w:hint="eastAsia"/>
          <w:lang w:val="en-US" w:eastAsia="zh-CN"/>
        </w:rPr>
      </w:pPr>
      <w:r>
        <w:rPr>
          <w:rFonts w:hint="eastAsia"/>
          <w:lang w:val="en-US" w:eastAsia="zh-CN"/>
        </w:rPr>
        <w:t>In previous meeting, for intra-band contiguous CA, it has been approved to reuse same principle as in legacy, i.e. not define MRTD requirements. While for inter-band CA, companies</w:t>
      </w:r>
      <w:r>
        <w:rPr>
          <w:rFonts w:hint="default"/>
          <w:lang w:val="en-US" w:eastAsia="zh-CN"/>
        </w:rPr>
        <w:t>’</w:t>
      </w:r>
      <w:r>
        <w:rPr>
          <w:rFonts w:hint="eastAsia"/>
          <w:lang w:val="en-US" w:eastAsia="zh-CN"/>
        </w:rPr>
        <w:t xml:space="preserve"> views are still diverse. Actually we can derive the MRTD through BS TAE and the propagation delay difference, that is MRTD = </w:t>
      </w:r>
      <w:r>
        <w:rPr>
          <w:highlight w:val="none"/>
        </w:rPr>
        <w:t>ΔT</w:t>
      </w:r>
      <w:r>
        <w:rPr>
          <w:highlight w:val="none"/>
          <w:vertAlign w:val="subscript"/>
        </w:rPr>
        <w:t>sync</w:t>
      </w:r>
      <w:r>
        <w:rPr>
          <w:rFonts w:hint="eastAsia"/>
          <w:highlight w:val="none"/>
          <w:lang w:val="en-US" w:eastAsia="zh-CN"/>
        </w:rPr>
        <w:t>+</w:t>
      </w:r>
      <w:r>
        <w:rPr>
          <w:highlight w:val="none"/>
          <w:lang w:val="en-US"/>
        </w:rPr>
        <w:t>ΔT</w:t>
      </w:r>
      <w:r>
        <w:rPr>
          <w:highlight w:val="none"/>
          <w:vertAlign w:val="subscript"/>
          <w:lang w:val="en-US"/>
        </w:rPr>
        <w:t>prop</w:t>
      </w:r>
      <w:r>
        <w:rPr>
          <w:rFonts w:hint="eastAsia"/>
          <w:lang w:val="en-US" w:eastAsia="zh-CN"/>
        </w:rPr>
        <w:t xml:space="preserve">, where </w:t>
      </w:r>
      <w:r>
        <w:rPr>
          <w:highlight w:val="none"/>
        </w:rPr>
        <w:t>ΔT</w:t>
      </w:r>
      <w:r>
        <w:rPr>
          <w:highlight w:val="none"/>
          <w:vertAlign w:val="subscript"/>
        </w:rPr>
        <w:t>sync</w:t>
      </w:r>
      <w:r>
        <w:rPr>
          <w:rFonts w:hint="eastAsia"/>
          <w:lang w:val="en-US" w:eastAsia="zh-CN"/>
        </w:rPr>
        <w:t xml:space="preserve"> = BS TAE, </w:t>
      </w:r>
      <w:r>
        <w:rPr>
          <w:highlight w:val="none"/>
          <w:lang w:val="en-US"/>
        </w:rPr>
        <w:t>ΔT</w:t>
      </w:r>
      <w:r>
        <w:rPr>
          <w:highlight w:val="none"/>
          <w:vertAlign w:val="subscript"/>
          <w:lang w:val="en-US"/>
        </w:rPr>
        <w:t>prop</w:t>
      </w:r>
      <w:r>
        <w:rPr>
          <w:rFonts w:hint="eastAsia"/>
          <w:lang w:val="en-US" w:eastAsia="zh-CN"/>
        </w:rPr>
        <w:t xml:space="preserve"> is the relative propagation delay difference. Due to co-located deployment, the component of </w:t>
      </w:r>
      <w:r>
        <w:rPr>
          <w:highlight w:val="none"/>
          <w:lang w:val="en-US"/>
        </w:rPr>
        <w:t>ΔT</w:t>
      </w:r>
      <w:r>
        <w:rPr>
          <w:highlight w:val="none"/>
          <w:vertAlign w:val="subscript"/>
          <w:lang w:val="en-US"/>
        </w:rPr>
        <w:t>prop</w:t>
      </w:r>
      <w:r>
        <w:rPr>
          <w:rFonts w:hint="eastAsia"/>
          <w:lang w:val="en-US" w:eastAsia="zh-CN"/>
        </w:rPr>
        <w:t xml:space="preserve"> is tiny, so the BS TAE dominates the MRTD. </w:t>
      </w:r>
    </w:p>
    <w:p>
      <w:pPr>
        <w:pStyle w:val="9"/>
        <w:numPr>
          <w:ilvl w:val="0"/>
          <w:numId w:val="0"/>
        </w:numPr>
        <w:bidi w:val="0"/>
        <w:ind w:leftChars="0"/>
        <w:rPr>
          <w:rFonts w:hint="eastAsia"/>
          <w:lang w:val="en-US" w:eastAsia="zh-CN"/>
        </w:rPr>
      </w:pPr>
      <w:r>
        <w:rPr>
          <w:rFonts w:hint="eastAsia"/>
          <w:lang w:val="en-US" w:eastAsia="zh-CN"/>
        </w:rPr>
        <w:t>Regarding the existing MRTD requirement for inter-band CA, actually the existing requirements(33µs) is based on the assumption of non co-located CA. While here for inter-band CA of ATG, the deployment is co-located CA, different from the legacy assumption.</w:t>
      </w:r>
    </w:p>
    <w:p>
      <w:pPr>
        <w:pStyle w:val="9"/>
        <w:bidi w:val="0"/>
        <w:rPr>
          <w:rFonts w:hint="eastAsia"/>
          <w:b/>
          <w:bCs/>
          <w:lang w:val="en-US" w:eastAsia="zh-CN"/>
        </w:rPr>
      </w:pPr>
      <w:r>
        <w:rPr>
          <w:rFonts w:hint="eastAsia"/>
          <w:b/>
          <w:bCs/>
          <w:lang w:val="en-US" w:eastAsia="zh-CN"/>
        </w:rPr>
        <w:t>Observation 1: For legacy requirements of MRTD for inter-band CA, the basic assumption is non co-located deployment, which is different from the assumption of co-located deployment in R19 ATG.</w:t>
      </w:r>
    </w:p>
    <w:p>
      <w:pPr>
        <w:pStyle w:val="9"/>
        <w:bidi w:val="0"/>
        <w:rPr>
          <w:rFonts w:hint="eastAsia"/>
          <w:lang w:val="en-US" w:eastAsia="zh-CN"/>
        </w:rPr>
      </w:pPr>
      <w:r>
        <w:rPr>
          <w:rFonts w:hint="eastAsia"/>
          <w:lang w:val="en-US" w:eastAsia="zh-CN"/>
        </w:rPr>
        <w:t>Furthermore, as analyzed above, limited to the special deployment of ATG CPE in airplane, the CPE implementation architecture is more or less different from normal handheld UE or CPE. So we can not assume the ATG CPE supports 33us of MRTD just because normal handheld UE and CPE do. For the case of common Rx beam assumed between a certain beam pair, a single RF chain/antenna panel is one of the possible UE implementation. Under such UE implementation, it is hard to handle as much as 33 us of MRTD. So we need to identify the MRTD from the perspective of ATG scenario instead of legacy normal UE assumption.</w:t>
      </w:r>
    </w:p>
    <w:p>
      <w:pPr>
        <w:pStyle w:val="9"/>
        <w:bidi w:val="0"/>
        <w:rPr>
          <w:rFonts w:hint="default"/>
          <w:lang w:val="en-US" w:eastAsia="zh-CN"/>
        </w:rPr>
      </w:pPr>
      <w:r>
        <w:rPr>
          <w:rFonts w:hint="eastAsia"/>
          <w:b/>
          <w:bCs/>
          <w:lang w:val="en-US" w:eastAsia="zh-CN"/>
        </w:rPr>
        <w:t>Observation 2: For the UE supporting Case 4, a single RF chain/antenna panel is one of the possible UE implementation in ATG scenario.</w:t>
      </w:r>
    </w:p>
    <w:p>
      <w:pPr>
        <w:pStyle w:val="9"/>
        <w:bidi w:val="0"/>
        <w:rPr>
          <w:rFonts w:hint="default"/>
          <w:lang w:val="en-US" w:eastAsia="zh-CN"/>
        </w:rPr>
      </w:pPr>
      <w:r>
        <w:rPr>
          <w:rFonts w:hint="eastAsia"/>
          <w:lang w:val="en-US" w:eastAsia="zh-CN"/>
        </w:rPr>
        <w:t>As a result, it is straightforward to define the MRTD of inter-band CA as 3µs for R19 ATG. Actually in practice, the assumption of 3µs of BS TAE is too conservative, the actual time error between different antenna connectors or TAB connectors could be much superior than this worst case. So the 3µs MRTD is accommodatable enough.</w:t>
      </w:r>
    </w:p>
    <w:p>
      <w:pPr>
        <w:pStyle w:val="9"/>
        <w:bidi w:val="0"/>
        <w:rPr>
          <w:rFonts w:hint="default"/>
          <w:lang w:val="en-US" w:eastAsia="zh-CN"/>
        </w:rPr>
      </w:pPr>
      <w:r>
        <w:rPr>
          <w:rFonts w:hint="eastAsia"/>
          <w:b/>
          <w:bCs/>
          <w:lang w:val="en-US" w:eastAsia="zh-CN"/>
        </w:rPr>
        <w:t>Proposal 3: For inter-band CA of R19 ATG, the MRTD would be not larger than 3µs.</w:t>
      </w:r>
    </w:p>
    <w:p>
      <w:pPr>
        <w:pStyle w:val="3"/>
        <w:numPr>
          <w:ilvl w:val="0"/>
          <w:numId w:val="0"/>
        </w:numPr>
        <w:bidi w:val="0"/>
        <w:ind w:leftChars="0"/>
        <w:rPr>
          <w:rFonts w:hint="default"/>
          <w:lang w:val="en-US" w:eastAsia="zh-CN"/>
        </w:rPr>
      </w:pPr>
      <w:r>
        <w:rPr>
          <w:rFonts w:hint="eastAsia"/>
          <w:lang w:val="en-US" w:eastAsia="zh-CN"/>
        </w:rPr>
        <w:t>2.3 Measurement procedure</w:t>
      </w:r>
    </w:p>
    <w:p>
      <w:pPr>
        <w:pStyle w:val="9"/>
        <w:bidi w:val="0"/>
        <w:rPr>
          <w:rFonts w:hint="eastAsia" w:cs="Arial"/>
          <w:b w:val="0"/>
          <w:bCs w:val="0"/>
          <w:u w:val="single"/>
          <w:lang w:val="en-US" w:eastAsia="zh-CN"/>
        </w:rPr>
      </w:pPr>
      <w:r>
        <w:rPr>
          <w:rFonts w:hint="eastAsia" w:cs="Arial"/>
          <w:b w:val="0"/>
          <w:bCs w:val="0"/>
          <w:u w:val="single"/>
          <w:lang w:val="en-US" w:eastAsia="zh-CN"/>
        </w:rPr>
        <w:t>Deactivated SCell measurement</w:t>
      </w:r>
    </w:p>
    <w:p>
      <w:pPr>
        <w:pStyle w:val="9"/>
        <w:bidi w:val="0"/>
        <w:rPr>
          <w:rFonts w:hint="eastAsia"/>
          <w:lang w:val="en-US" w:eastAsia="zh-CN"/>
        </w:rPr>
      </w:pPr>
      <w:r>
        <w:rPr>
          <w:rFonts w:hint="eastAsia"/>
          <w:lang w:val="en-US" w:eastAsia="zh-CN"/>
        </w:rPr>
        <w:t>R18 ATG has already defined the intra-f measurement requirements for PCell, which is also applicable to the activated SCell measurement. For the SCell, after it is added but still not activated, UE would perform deactivated SCell measurement. We need to determine whether to consider Rx beam sweeping factor N1 and L3/L1 measurement sharing factor K</w:t>
      </w:r>
      <w:r>
        <w:rPr>
          <w:rFonts w:hint="eastAsia"/>
          <w:sz w:val="13"/>
          <w:szCs w:val="13"/>
          <w:lang w:val="en-US" w:eastAsia="zh-CN"/>
        </w:rPr>
        <w:t>layer1_measurement</w:t>
      </w:r>
      <w:r>
        <w:rPr>
          <w:rFonts w:hint="eastAsia"/>
          <w:lang w:val="en-US" w:eastAsia="zh-CN"/>
        </w:rPr>
        <w:t xml:space="preserve"> during the deactivated SCell measurement for the antenna phase array assumption. </w:t>
      </w:r>
    </w:p>
    <w:p>
      <w:pPr>
        <w:pStyle w:val="9"/>
        <w:bidi w:val="0"/>
        <w:rPr>
          <w:rFonts w:hint="eastAsia"/>
          <w:lang w:val="en-US" w:eastAsia="zh-CN"/>
        </w:rPr>
      </w:pPr>
      <w:r>
        <w:rPr>
          <w:rFonts w:hint="eastAsia"/>
          <w:lang w:val="en-US" w:eastAsia="zh-CN"/>
        </w:rPr>
        <w:t xml:space="preserve">To accommodate the deactivated SCell measurement and other intra-frequency neighbour cell(s) measurement, since different cell location, so UE needs to apply different Rx beam for them, so the Rx beam sweeping factor N1 is needed. </w:t>
      </w:r>
    </w:p>
    <w:p>
      <w:pPr>
        <w:pStyle w:val="9"/>
        <w:bidi w:val="0"/>
        <w:rPr>
          <w:rFonts w:hint="default"/>
          <w:lang w:val="en-US" w:eastAsia="zh-CN"/>
        </w:rPr>
      </w:pPr>
      <w:r>
        <w:rPr>
          <w:rFonts w:hint="eastAsia"/>
          <w:lang w:val="en-US" w:eastAsia="zh-CN"/>
        </w:rPr>
        <w:t>For the scaling factor K</w:t>
      </w:r>
      <w:r>
        <w:rPr>
          <w:rFonts w:hint="eastAsia"/>
          <w:sz w:val="13"/>
          <w:szCs w:val="13"/>
          <w:lang w:val="en-US" w:eastAsia="zh-CN"/>
        </w:rPr>
        <w:t>layer1_measurement</w:t>
      </w:r>
      <w:r>
        <w:rPr>
          <w:rFonts w:hint="eastAsia"/>
          <w:lang w:val="en-US" w:eastAsia="zh-CN"/>
        </w:rPr>
        <w:t>, which is used to handle the overlapping between L1 measurement and L3 measurement outside gap. When UE performs L3 measurement for deactivated SCell, the possible overlapping L1 measurement is for the PCell. Since co-located for PCell and SCell, same Rx beam could be assumed for the both measurements. So no need to introduce K</w:t>
      </w:r>
      <w:r>
        <w:rPr>
          <w:rFonts w:hint="eastAsia"/>
          <w:sz w:val="13"/>
          <w:szCs w:val="13"/>
          <w:lang w:val="en-US" w:eastAsia="zh-CN"/>
        </w:rPr>
        <w:t>layer1_measurement</w:t>
      </w:r>
      <w:r>
        <w:rPr>
          <w:rFonts w:hint="eastAsia"/>
          <w:lang w:val="en-US" w:eastAsia="zh-CN"/>
        </w:rPr>
        <w:t>. But for neighbour cell RRM measurement , K</w:t>
      </w:r>
      <w:r>
        <w:rPr>
          <w:rFonts w:hint="eastAsia"/>
          <w:sz w:val="13"/>
          <w:szCs w:val="13"/>
          <w:lang w:val="en-US" w:eastAsia="zh-CN"/>
        </w:rPr>
        <w:t>layer1_measurement</w:t>
      </w:r>
      <w:r>
        <w:rPr>
          <w:rFonts w:hint="eastAsia"/>
          <w:lang w:val="en-US" w:eastAsia="zh-CN"/>
        </w:rPr>
        <w:t xml:space="preserve"> is still needed as specified in R18 ATG.</w:t>
      </w:r>
    </w:p>
    <w:p>
      <w:pPr>
        <w:pStyle w:val="9"/>
        <w:bidi w:val="0"/>
        <w:rPr>
          <w:rFonts w:hint="eastAsia"/>
          <w:b/>
          <w:bCs/>
          <w:lang w:val="en-US" w:eastAsia="zh-CN"/>
        </w:rPr>
      </w:pPr>
      <w:r>
        <w:rPr>
          <w:rFonts w:hint="eastAsia"/>
          <w:b/>
          <w:bCs/>
          <w:lang w:val="en-US" w:eastAsia="zh-CN"/>
        </w:rPr>
        <w:t xml:space="preserve">Proposal 4: For the deactivated SCell measurement, under the assumption of antenna phase array,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 xml:space="preserve">The beam sweeping factor N1 is needed.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The L3/L1 measurement sharing factor K</w:t>
      </w:r>
      <w:r>
        <w:rPr>
          <w:rFonts w:hint="eastAsia"/>
          <w:b/>
          <w:bCs/>
          <w:sz w:val="13"/>
          <w:szCs w:val="13"/>
          <w:lang w:val="en-US" w:eastAsia="zh-CN"/>
        </w:rPr>
        <w:t>layer1_measurement</w:t>
      </w:r>
      <w:r>
        <w:rPr>
          <w:rFonts w:hint="eastAsia"/>
          <w:b/>
          <w:bCs/>
          <w:lang w:val="en-US" w:eastAsia="zh-CN"/>
        </w:rPr>
        <w:t xml:space="preserve"> is not needed. </w:t>
      </w:r>
    </w:p>
    <w:p>
      <w:pPr>
        <w:pStyle w:val="9"/>
        <w:bidi w:val="0"/>
        <w:rPr>
          <w:rFonts w:hint="eastAsia" w:cs="Arial"/>
          <w:b w:val="0"/>
          <w:bCs w:val="0"/>
          <w:u w:val="single"/>
          <w:lang w:val="en-US" w:eastAsia="zh-CN"/>
        </w:rPr>
      </w:pPr>
      <w:r>
        <w:rPr>
          <w:rFonts w:hint="eastAsia" w:cs="Arial"/>
          <w:b w:val="0"/>
          <w:bCs w:val="0"/>
          <w:u w:val="single"/>
          <w:lang w:val="en-US" w:eastAsia="zh-CN"/>
        </w:rPr>
        <w:t>Scheduling restriction</w:t>
      </w:r>
    </w:p>
    <w:p>
      <w:pPr>
        <w:pStyle w:val="9"/>
        <w:bidi w:val="0"/>
        <w:rPr>
          <w:rFonts w:hint="eastAsia"/>
          <w:lang w:val="en-US" w:eastAsia="zh-CN"/>
        </w:rPr>
      </w:pPr>
      <w:r>
        <w:rPr>
          <w:rFonts w:hint="eastAsia"/>
          <w:lang w:val="en-US" w:eastAsia="zh-CN"/>
        </w:rPr>
        <w:t xml:space="preserve">In R18 ATG, scheduling restriction were identified for omni-directional antenna and antenna array separately. For omni-directional antenna, reuse legacy scheduling restriction. For antenna array, restricted by the beam steering at a single direction at one time, additional restriction compared with legacy FR1 was introduced, i.e. the UE can not receive </w:t>
      </w:r>
      <w:r>
        <w:rPr>
          <w:lang w:eastAsia="zh-CN"/>
        </w:rPr>
        <w:t>PDCCH/PDSCH/TRS/CSI-RS for CQI</w:t>
      </w:r>
      <w:r>
        <w:rPr>
          <w:rFonts w:hint="eastAsia"/>
          <w:lang w:val="en-US" w:eastAsia="zh-CN"/>
        </w:rPr>
        <w:t xml:space="preserve"> when performing neighbour cell measurements. Take intra-frequency measurements for RSRP/SINR as example, we listed the additional restriction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eastAsia="宋体"/>
                <w:lang w:val="en-US" w:eastAsia="zh-CN"/>
              </w:rPr>
            </w:pPr>
            <w:r>
              <w:rPr>
                <w:rFonts w:hint="eastAsia"/>
              </w:rPr>
              <w:t>W</w:t>
            </w:r>
            <w:r>
              <w:t xml:space="preserve">hen the ATG UE </w:t>
            </w:r>
            <w:r>
              <w:rPr>
                <w:highlight w:val="none"/>
              </w:rPr>
              <w:t xml:space="preserve">with phase array antenna performs intra-frequency neighbouring cell measurements </w:t>
            </w:r>
            <w:r>
              <w:t>in TDD band, the following restrictions apply due to SS-RSRP or SS-SINR measurement:</w:t>
            </w:r>
            <w:r>
              <w:rPr>
                <w:rFonts w:hint="eastAsia"/>
                <w:lang w:val="en-US" w:eastAsia="zh-CN"/>
              </w:rPr>
              <w:t xml:space="preserve"> </w:t>
            </w:r>
          </w:p>
          <w:p>
            <w:pPr>
              <w:pStyle w:val="31"/>
              <w:rPr>
                <w:lang w:eastAsia="zh-CN"/>
              </w:rPr>
            </w:pPr>
            <w:r>
              <w:rPr>
                <w:lang w:val="en-US"/>
              </w:rPr>
              <w:t>-</w:t>
            </w:r>
            <w:r>
              <w:rPr>
                <w:lang w:val="en-US"/>
              </w:rPr>
              <w:tab/>
            </w:r>
            <w:r>
              <w:rPr>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31"/>
              <w:rPr>
                <w:rFonts w:hint="default"/>
                <w:vertAlign w:val="baseline"/>
                <w:lang w:val="en-US" w:eastAsia="zh-CN"/>
              </w:rPr>
            </w:pPr>
            <w:r>
              <w:rPr>
                <w:lang w:val="en-US"/>
              </w:rPr>
              <w:t>-</w:t>
            </w:r>
            <w:r>
              <w:rPr>
                <w:lang w:val="en-US"/>
              </w:rPr>
              <w:tab/>
            </w:r>
            <w:r>
              <w:rPr>
                <w:lang w:val="en-US"/>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tc>
      </w:tr>
    </w:tbl>
    <w:p>
      <w:pPr>
        <w:pStyle w:val="9"/>
        <w:bidi w:val="0"/>
        <w:rPr>
          <w:rFonts w:hint="eastAsia"/>
          <w:lang w:val="en-US" w:eastAsia="zh-CN"/>
        </w:rPr>
      </w:pPr>
      <w:r>
        <w:rPr>
          <w:rFonts w:hint="eastAsia"/>
          <w:lang w:val="en-US" w:eastAsia="zh-CN"/>
        </w:rPr>
        <w:t>For R19 ATG, due to the scenario is CA case, firstly the scheduling restriction extension to intra-band/inter-band CA should be identified. The UE antenna assumption would impact the exact strategy of scheduling restriction. In details, we discuss intra-band CA and inter-band CA separately.</w:t>
      </w:r>
    </w:p>
    <w:p>
      <w:pPr>
        <w:pStyle w:val="9"/>
        <w:numPr>
          <w:ilvl w:val="0"/>
          <w:numId w:val="0"/>
        </w:numPr>
        <w:bidi w:val="0"/>
        <w:ind w:leftChars="0"/>
        <w:rPr>
          <w:rFonts w:hint="default"/>
          <w:b/>
          <w:bCs/>
          <w:lang w:val="en-US" w:eastAsia="zh-CN"/>
        </w:rPr>
      </w:pPr>
      <w:r>
        <w:rPr>
          <w:rFonts w:hint="eastAsia"/>
          <w:lang w:val="en-US" w:eastAsia="zh-CN"/>
        </w:rPr>
        <w:t>For intra-band CA, good progress was achieved in last meeting. No need further discussion.</w:t>
      </w:r>
    </w:p>
    <w:p>
      <w:pPr>
        <w:pStyle w:val="9"/>
        <w:bidi w:val="0"/>
        <w:rPr>
          <w:rFonts w:hint="eastAsia"/>
          <w:lang w:val="en-US" w:eastAsia="zh-CN"/>
        </w:rPr>
      </w:pPr>
      <w:r>
        <w:rPr>
          <w:rFonts w:hint="eastAsia"/>
          <w:lang w:val="en-US" w:eastAsia="zh-CN"/>
        </w:rPr>
        <w:t>For inter-band CA, different from intra-band CA, not only same or different antenna type is applicable between multiple bands, but also common or separate Rx beam could be assumed between multiple bands. These two points infer the exact scheme of scheduling restriction. We discuss each case one by one.</w:t>
      </w:r>
    </w:p>
    <w:p>
      <w:pPr>
        <w:pStyle w:val="9"/>
        <w:numPr>
          <w:ilvl w:val="0"/>
          <w:numId w:val="8"/>
        </w:numPr>
        <w:bidi w:val="0"/>
        <w:ind w:left="420" w:leftChars="0" w:hanging="420" w:firstLineChars="0"/>
        <w:rPr>
          <w:rFonts w:hint="eastAsia"/>
          <w:lang w:val="en-US" w:eastAsia="zh-CN"/>
        </w:rPr>
      </w:pPr>
      <w:r>
        <w:rPr>
          <w:rFonts w:hint="eastAsia"/>
          <w:lang w:val="en-US" w:eastAsia="zh-CN"/>
        </w:rPr>
        <w:t>Case 1: omnidirectional antennas on two bands</w:t>
      </w:r>
    </w:p>
    <w:p>
      <w:pPr>
        <w:pStyle w:val="9"/>
        <w:numPr>
          <w:ilvl w:val="0"/>
          <w:numId w:val="8"/>
        </w:numPr>
        <w:bidi w:val="0"/>
        <w:ind w:left="420" w:leftChars="0" w:hanging="420" w:firstLineChars="0"/>
        <w:rPr>
          <w:rFonts w:hint="eastAsia"/>
          <w:lang w:val="en-US" w:eastAsia="zh-CN"/>
        </w:rPr>
      </w:pPr>
      <w:r>
        <w:rPr>
          <w:rFonts w:hint="eastAsia"/>
          <w:lang w:val="en-US" w:eastAsia="zh-CN"/>
        </w:rPr>
        <w:t>Case 2&amp;3: omnidirectional antennas on one band, and phase antenna array on the other band</w:t>
      </w:r>
    </w:p>
    <w:p>
      <w:pPr>
        <w:pStyle w:val="9"/>
        <w:numPr>
          <w:ilvl w:val="0"/>
          <w:numId w:val="8"/>
        </w:numPr>
        <w:bidi w:val="0"/>
        <w:ind w:left="420" w:leftChars="0" w:hanging="420" w:firstLineChars="0"/>
        <w:rPr>
          <w:rFonts w:hint="eastAsia"/>
          <w:lang w:val="en-US" w:eastAsia="zh-CN"/>
        </w:rPr>
      </w:pPr>
      <w:r>
        <w:rPr>
          <w:rFonts w:hint="eastAsia"/>
          <w:lang w:val="en-US" w:eastAsia="zh-CN"/>
        </w:rPr>
        <w:t>Case 4: phase antenna array on two bands with common Rx beam assumption</w:t>
      </w:r>
    </w:p>
    <w:p>
      <w:pPr>
        <w:pStyle w:val="9"/>
        <w:numPr>
          <w:ilvl w:val="0"/>
          <w:numId w:val="8"/>
        </w:numPr>
        <w:bidi w:val="0"/>
        <w:ind w:left="420" w:leftChars="0" w:hanging="420" w:firstLineChars="0"/>
        <w:rPr>
          <w:rFonts w:hint="eastAsia"/>
          <w:lang w:val="en-US" w:eastAsia="zh-CN"/>
        </w:rPr>
      </w:pPr>
      <w:r>
        <w:rPr>
          <w:rFonts w:hint="eastAsia"/>
          <w:lang w:val="en-US" w:eastAsia="zh-CN"/>
        </w:rPr>
        <w:t>Case 5: phase antenna array on two bands with separate Rx beam assumption</w:t>
      </w:r>
    </w:p>
    <w:p>
      <w:pPr>
        <w:pStyle w:val="9"/>
        <w:numPr>
          <w:ilvl w:val="0"/>
          <w:numId w:val="0"/>
        </w:numPr>
        <w:bidi w:val="0"/>
        <w:ind w:leftChars="0"/>
        <w:rPr>
          <w:rFonts w:hint="eastAsia"/>
          <w:lang w:val="en-US" w:eastAsia="zh-CN"/>
        </w:rPr>
      </w:pPr>
      <w:r>
        <w:rPr>
          <w:rFonts w:hint="eastAsia"/>
          <w:lang w:val="en-US" w:eastAsia="zh-CN"/>
        </w:rPr>
        <w:t>For Case 1, just reuse legacy TN scheduling restriction scheme for FR1.</w:t>
      </w:r>
    </w:p>
    <w:p>
      <w:pPr>
        <w:pStyle w:val="9"/>
        <w:numPr>
          <w:ilvl w:val="0"/>
          <w:numId w:val="0"/>
        </w:numPr>
        <w:bidi w:val="0"/>
        <w:ind w:leftChars="0"/>
        <w:rPr>
          <w:rFonts w:hint="default"/>
          <w:lang w:val="en-US" w:eastAsia="zh-CN"/>
        </w:rPr>
      </w:pPr>
      <w:r>
        <w:rPr>
          <w:rFonts w:hint="eastAsia"/>
          <w:lang w:val="en-US" w:eastAsia="zh-CN"/>
        </w:rPr>
        <w:t>For Case 2&amp;3, within the band of phase antenna array assumed, reuse the above suggestion for intra-band CA. Within the band of omnidirectional antennas assumed, reuse legacy TN scheduling restriction scheme for FR1. Across the two bands, since independent antennas applied, no scheduling restriction.</w:t>
      </w:r>
    </w:p>
    <w:p>
      <w:pPr>
        <w:pStyle w:val="9"/>
        <w:numPr>
          <w:ilvl w:val="0"/>
          <w:numId w:val="0"/>
        </w:numPr>
        <w:bidi w:val="0"/>
        <w:ind w:leftChars="0"/>
        <w:rPr>
          <w:rFonts w:hint="eastAsia"/>
          <w:lang w:val="en-US" w:eastAsia="zh-CN"/>
        </w:rPr>
      </w:pPr>
      <w:r>
        <w:rPr>
          <w:rFonts w:hint="eastAsia"/>
          <w:lang w:val="en-US" w:eastAsia="zh-CN"/>
        </w:rPr>
        <w:t>For Case 4, honestly speaking, this is the most restricted case. Any neighbour cell measurement in one band would lead to scheduling restriction in a serving cell of the other band. So extend the R18 ATG scheduling restriction to all the intra-band and inter-band serving cells.</w:t>
      </w:r>
    </w:p>
    <w:p>
      <w:pPr>
        <w:pStyle w:val="9"/>
        <w:numPr>
          <w:ilvl w:val="0"/>
          <w:numId w:val="0"/>
        </w:numPr>
        <w:bidi w:val="0"/>
        <w:ind w:leftChars="0"/>
        <w:rPr>
          <w:rFonts w:hint="default"/>
          <w:lang w:val="en-US" w:eastAsia="zh-CN"/>
        </w:rPr>
      </w:pPr>
      <w:r>
        <w:rPr>
          <w:rFonts w:hint="eastAsia"/>
          <w:lang w:val="en-US" w:eastAsia="zh-CN"/>
        </w:rPr>
        <w:t>For Case 5, similar as above intra-band case, i.e. only extend the R18 ATG scheduling restriction to the intra-band serving cells. No impact across bands.</w:t>
      </w:r>
    </w:p>
    <w:p>
      <w:pPr>
        <w:pStyle w:val="9"/>
        <w:bidi w:val="0"/>
        <w:rPr>
          <w:rFonts w:hint="eastAsia"/>
          <w:b/>
          <w:bCs/>
          <w:lang w:val="en-US" w:eastAsia="zh-CN"/>
        </w:rPr>
      </w:pPr>
      <w:r>
        <w:rPr>
          <w:rFonts w:hint="eastAsia"/>
          <w:b/>
          <w:bCs/>
          <w:lang w:val="en-US" w:eastAsia="zh-CN"/>
        </w:rPr>
        <w:t>Proposal 5: For inter-band CA, identify the scheduling restriction for all the antenna assumption cases one by one.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For Case 1, reuse legacy TN scheduling restriction scheme for FR1.</w:t>
      </w:r>
    </w:p>
    <w:p>
      <w:pPr>
        <w:pStyle w:val="9"/>
        <w:numPr>
          <w:ilvl w:val="0"/>
          <w:numId w:val="9"/>
        </w:numPr>
        <w:bidi w:val="0"/>
        <w:ind w:left="420" w:leftChars="0" w:hanging="420" w:firstLineChars="0"/>
        <w:rPr>
          <w:rFonts w:hint="default"/>
          <w:b/>
          <w:bCs/>
          <w:lang w:val="en-US" w:eastAsia="zh-CN"/>
        </w:rPr>
      </w:pPr>
      <w:r>
        <w:rPr>
          <w:rFonts w:hint="eastAsia"/>
          <w:b/>
          <w:bCs/>
          <w:lang w:val="en-US" w:eastAsia="zh-CN"/>
        </w:rPr>
        <w:t>For Case 2&amp;3, within the band of phase antenna array assumed, reuse the legacy strategy for intra-band CA. Within the band of omnidirectional antennas assumed, reuse legacy TN scheduling restriction strategy for FR1. No scheduling restriction across bands.</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For Case 4, extend the R18 ATG scheduling restriction to all the intra-band and inter-band serving cells.</w:t>
      </w:r>
    </w:p>
    <w:p>
      <w:pPr>
        <w:pStyle w:val="9"/>
        <w:numPr>
          <w:ilvl w:val="0"/>
          <w:numId w:val="9"/>
        </w:numPr>
        <w:bidi w:val="0"/>
        <w:ind w:left="420" w:leftChars="0" w:hanging="420" w:firstLineChars="0"/>
        <w:rPr>
          <w:rFonts w:hint="default"/>
          <w:b/>
          <w:bCs/>
          <w:lang w:val="en-US" w:eastAsia="zh-CN"/>
        </w:rPr>
      </w:pPr>
      <w:r>
        <w:rPr>
          <w:rFonts w:hint="eastAsia"/>
          <w:b/>
          <w:bCs/>
          <w:lang w:val="en-US" w:eastAsia="zh-CN"/>
        </w:rPr>
        <w:t>For Case 5, extend the R18 ATG scheduling restriction to all the intra-band serving cell. No scheduling restriction across bands.</w:t>
      </w:r>
    </w:p>
    <w:p>
      <w:pPr>
        <w:pStyle w:val="3"/>
        <w:numPr>
          <w:ilvl w:val="0"/>
          <w:numId w:val="0"/>
        </w:numPr>
        <w:bidi w:val="0"/>
        <w:ind w:leftChars="0"/>
        <w:rPr>
          <w:rFonts w:hint="eastAsia" w:cs="Arial"/>
          <w:b w:val="0"/>
          <w:bCs w:val="0"/>
          <w:u w:val="single"/>
          <w:lang w:val="en-US" w:eastAsia="zh-CN"/>
        </w:rPr>
      </w:pPr>
      <w:r>
        <w:rPr>
          <w:rFonts w:hint="eastAsia"/>
          <w:lang w:val="en-US" w:eastAsia="zh-CN"/>
        </w:rPr>
        <w:t>2.4 Signalling characteristics</w:t>
      </w:r>
    </w:p>
    <w:p>
      <w:pPr>
        <w:pStyle w:val="9"/>
        <w:bidi w:val="0"/>
        <w:rPr>
          <w:rFonts w:hint="eastAsia" w:cs="Arial"/>
          <w:b w:val="0"/>
          <w:bCs w:val="0"/>
          <w:u w:val="single"/>
          <w:lang w:val="en-US" w:eastAsia="zh-CN"/>
        </w:rPr>
      </w:pPr>
      <w:r>
        <w:rPr>
          <w:rFonts w:hint="eastAsia" w:cs="Arial"/>
          <w:b w:val="0"/>
          <w:bCs w:val="0"/>
          <w:u w:val="single"/>
          <w:lang w:val="en-US" w:eastAsia="zh-CN"/>
        </w:rPr>
        <w:t>Active BWP switch delay on multiple CCs</w:t>
      </w:r>
    </w:p>
    <w:p>
      <w:pPr>
        <w:pStyle w:val="9"/>
        <w:numPr>
          <w:ilvl w:val="0"/>
          <w:numId w:val="0"/>
        </w:numPr>
        <w:bidi w:val="0"/>
        <w:ind w:leftChars="0"/>
        <w:rPr>
          <w:rFonts w:hint="eastAsia"/>
          <w:lang w:val="en-US" w:eastAsia="zh-CN"/>
        </w:rPr>
      </w:pPr>
      <w:r>
        <w:rPr>
          <w:rFonts w:hint="eastAsia"/>
          <w:lang w:val="en-US" w:eastAsia="zh-CN"/>
        </w:rPr>
        <w:t>For active BWP switching, simultaneous BWP switching on multiple CCs could be considered for ATG CA scenario. The legacy simultaneous DCI/RRC/timer based BWP switching requirements on multiple CCs could be reused.</w:t>
      </w:r>
    </w:p>
    <w:p>
      <w:pPr>
        <w:pStyle w:val="9"/>
        <w:bidi w:val="0"/>
        <w:rPr>
          <w:rFonts w:hint="eastAsia"/>
          <w:b/>
          <w:bCs/>
          <w:lang w:val="en-US" w:eastAsia="zh-CN"/>
        </w:rPr>
      </w:pPr>
      <w:r>
        <w:rPr>
          <w:rFonts w:hint="eastAsia"/>
          <w:b/>
          <w:bCs/>
          <w:lang w:val="en-US" w:eastAsia="zh-CN"/>
        </w:rPr>
        <w:t>Proposal 6: Reuse legacy simultaneous DCI/RRC/timer based active BWP switching requirements.</w:t>
      </w:r>
    </w:p>
    <w:p>
      <w:pPr>
        <w:pStyle w:val="9"/>
        <w:bidi w:val="0"/>
        <w:rPr>
          <w:rFonts w:hint="eastAsia" w:cs="Arial"/>
          <w:b w:val="0"/>
          <w:bCs w:val="0"/>
          <w:u w:val="single"/>
          <w:lang w:val="en-US" w:eastAsia="zh-CN"/>
        </w:rPr>
      </w:pPr>
      <w:r>
        <w:rPr>
          <w:rFonts w:hint="eastAsia" w:cs="Arial"/>
          <w:b w:val="0"/>
          <w:bCs w:val="0"/>
          <w:u w:val="single"/>
          <w:lang w:val="en-US" w:eastAsia="zh-CN"/>
        </w:rPr>
        <w:t>Whether define interruptions at NR SRS antenna port switching</w:t>
      </w:r>
    </w:p>
    <w:p>
      <w:pPr>
        <w:pStyle w:val="9"/>
        <w:bidi w:val="0"/>
        <w:rPr>
          <w:rFonts w:hint="eastAsia"/>
          <w:lang w:val="en-US" w:eastAsia="zh-CN"/>
        </w:rPr>
      </w:pPr>
      <w:r>
        <w:rPr>
          <w:rFonts w:hint="eastAsia"/>
          <w:lang w:val="en-US" w:eastAsia="zh-CN"/>
        </w:rPr>
        <w:t>According to the latest revised WID, both UL MIMO and DL MIMO are supported by R19 ATG, 2Tx for UL MIMO and at most 4R for DL MIMO. As a result the SRS antenna switching is still needed to handle the asymmetrical cases between Tx and Rx numbers. So it is necessary to define the interruption requirements of SRS antenna port switching. For the exact requirements, we prefer to reuse the existing requirements.</w:t>
      </w:r>
    </w:p>
    <w:p>
      <w:pPr>
        <w:pStyle w:val="9"/>
        <w:bidi w:val="0"/>
        <w:rPr>
          <w:rFonts w:hint="default"/>
          <w:b/>
          <w:bCs/>
          <w:lang w:val="en-US" w:eastAsia="zh-CN"/>
        </w:rPr>
      </w:pPr>
      <w:r>
        <w:rPr>
          <w:rFonts w:hint="eastAsia"/>
          <w:b/>
          <w:bCs/>
          <w:lang w:val="en-US" w:eastAsia="zh-CN"/>
        </w:rPr>
        <w:t>Proposal 7: Need to define the interruption requirements for SRS antenna port switching. Prefer to reuse the existing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b/>
          <w:bCs/>
          <w:lang w:val="en-US" w:eastAsia="zh-CN"/>
        </w:rPr>
      </w:pPr>
      <w:r>
        <w:rPr>
          <w:rFonts w:hint="eastAsia"/>
          <w:b/>
          <w:bCs/>
          <w:lang w:val="en-US" w:eastAsia="zh-CN"/>
        </w:rPr>
        <w:t>Proposal 1: Pay more attention to the Rx beam assumption instead of antenna assumption, not preclude any possible antenna implementation for inter-band CA. Refine the Case 4 and Case 5 as below and keep both of them:</w:t>
      </w:r>
    </w:p>
    <w:p>
      <w:pPr>
        <w:numPr>
          <w:ilvl w:val="0"/>
          <w:numId w:val="6"/>
        </w:numPr>
        <w:autoSpaceDN w:val="0"/>
        <w:spacing w:after="120"/>
        <w:ind w:left="600" w:leftChars="0"/>
        <w:rPr>
          <w:rFonts w:eastAsia="等线"/>
          <w:b/>
          <w:bCs/>
          <w:kern w:val="2"/>
          <w:sz w:val="21"/>
          <w:szCs w:val="21"/>
          <w:highlight w:val="none"/>
          <w:lang w:val="en-US" w:eastAsia="zh-CN"/>
        </w:rPr>
      </w:pPr>
      <w:r>
        <w:rPr>
          <w:rFonts w:hint="eastAsia"/>
          <w:b/>
          <w:bCs/>
          <w:lang w:val="en-US" w:eastAsia="zh-CN"/>
        </w:rPr>
        <w:t xml:space="preserve">Case </w:t>
      </w:r>
      <w:r>
        <w:rPr>
          <w:rFonts w:eastAsia="等线"/>
          <w:b/>
          <w:bCs/>
          <w:kern w:val="2"/>
          <w:sz w:val="21"/>
          <w:szCs w:val="21"/>
          <w:highlight w:val="none"/>
          <w:lang w:val="en-US" w:eastAsia="zh-CN"/>
        </w:rPr>
        <w:t xml:space="preserve">4. ATG UE with </w:t>
      </w:r>
      <w:r>
        <w:rPr>
          <w:rFonts w:eastAsia="等线"/>
          <w:b/>
          <w:bCs/>
          <w:strike/>
          <w:kern w:val="2"/>
          <w:sz w:val="21"/>
          <w:szCs w:val="21"/>
          <w:highlight w:val="yellow"/>
          <w:lang w:val="en-US" w:eastAsia="zh-CN"/>
        </w:rPr>
        <w:t>an</w:t>
      </w:r>
      <w:r>
        <w:rPr>
          <w:rFonts w:eastAsia="等线"/>
          <w:b/>
          <w:bCs/>
          <w:kern w:val="2"/>
          <w:sz w:val="21"/>
          <w:szCs w:val="21"/>
          <w:highlight w:val="yellow"/>
          <w:lang w:val="en-US" w:eastAsia="zh-CN"/>
        </w:rPr>
        <w:t xml:space="preserve"> </w:t>
      </w:r>
      <w:r>
        <w:rPr>
          <w:rFonts w:eastAsia="等线"/>
          <w:b/>
          <w:bCs/>
          <w:kern w:val="2"/>
          <w:sz w:val="21"/>
          <w:szCs w:val="21"/>
          <w:highlight w:val="none"/>
          <w:lang w:val="en-US" w:eastAsia="zh-CN"/>
        </w:rPr>
        <w:t>antenna array</w:t>
      </w:r>
      <w:r>
        <w:rPr>
          <w:rFonts w:hint="eastAsia" w:eastAsia="等线"/>
          <w:b/>
          <w:bCs/>
          <w:kern w:val="2"/>
          <w:sz w:val="21"/>
          <w:szCs w:val="21"/>
          <w:highlight w:val="yellow"/>
          <w:lang w:val="en-US" w:eastAsia="zh-CN"/>
        </w:rPr>
        <w:t>(s)</w:t>
      </w:r>
      <w:r>
        <w:rPr>
          <w:rFonts w:eastAsia="等线"/>
          <w:b/>
          <w:bCs/>
          <w:kern w:val="2"/>
          <w:sz w:val="21"/>
          <w:szCs w:val="21"/>
          <w:highlight w:val="none"/>
          <w:lang w:val="en-US" w:eastAsia="zh-CN"/>
        </w:rPr>
        <w:t xml:space="preserve"> on the bands of PCC and SCC, and one common Rx beam assumed.</w:t>
      </w:r>
    </w:p>
    <w:p>
      <w:pPr>
        <w:numPr>
          <w:ilvl w:val="0"/>
          <w:numId w:val="6"/>
        </w:numPr>
        <w:autoSpaceDN w:val="0"/>
        <w:spacing w:after="120"/>
        <w:ind w:left="600" w:leftChars="0"/>
        <w:rPr>
          <w:rFonts w:eastAsia="等线"/>
          <w:b/>
          <w:bCs/>
          <w:kern w:val="2"/>
          <w:sz w:val="21"/>
          <w:szCs w:val="21"/>
          <w:highlight w:val="none"/>
          <w:lang w:val="en-US" w:eastAsia="zh-CN"/>
        </w:rPr>
      </w:pPr>
      <w:r>
        <w:rPr>
          <w:rFonts w:hint="eastAsia" w:eastAsia="等线"/>
          <w:b/>
          <w:bCs/>
          <w:kern w:val="2"/>
          <w:sz w:val="21"/>
          <w:szCs w:val="21"/>
          <w:highlight w:val="none"/>
          <w:lang w:val="en-US" w:eastAsia="zh-CN"/>
        </w:rPr>
        <w:t xml:space="preserve">Case </w:t>
      </w:r>
      <w:r>
        <w:rPr>
          <w:rFonts w:eastAsia="等线"/>
          <w:b/>
          <w:bCs/>
          <w:kern w:val="2"/>
          <w:sz w:val="21"/>
          <w:szCs w:val="21"/>
          <w:highlight w:val="none"/>
          <w:lang w:val="en-US" w:eastAsia="zh-CN"/>
        </w:rPr>
        <w:t xml:space="preserve">5. ATG UE with </w:t>
      </w:r>
      <w:r>
        <w:rPr>
          <w:rFonts w:eastAsia="等线"/>
          <w:b/>
          <w:bCs/>
          <w:strike/>
          <w:kern w:val="2"/>
          <w:sz w:val="21"/>
          <w:szCs w:val="21"/>
          <w:highlight w:val="yellow"/>
          <w:lang w:val="en-US" w:eastAsia="zh-CN"/>
        </w:rPr>
        <w:t>an</w:t>
      </w:r>
      <w:r>
        <w:rPr>
          <w:rFonts w:eastAsia="等线"/>
          <w:b/>
          <w:bCs/>
          <w:kern w:val="2"/>
          <w:sz w:val="21"/>
          <w:szCs w:val="21"/>
          <w:highlight w:val="yellow"/>
          <w:lang w:val="en-US" w:eastAsia="zh-CN"/>
        </w:rPr>
        <w:t xml:space="preserve"> </w:t>
      </w:r>
      <w:r>
        <w:rPr>
          <w:rFonts w:eastAsia="等线"/>
          <w:b/>
          <w:bCs/>
          <w:kern w:val="2"/>
          <w:sz w:val="21"/>
          <w:szCs w:val="21"/>
          <w:highlight w:val="none"/>
          <w:lang w:val="en-US" w:eastAsia="zh-CN"/>
        </w:rPr>
        <w:t>antenna array</w:t>
      </w:r>
      <w:r>
        <w:rPr>
          <w:rFonts w:hint="eastAsia" w:eastAsia="等线"/>
          <w:b/>
          <w:bCs/>
          <w:kern w:val="2"/>
          <w:sz w:val="21"/>
          <w:szCs w:val="21"/>
          <w:highlight w:val="yellow"/>
          <w:lang w:val="en-US" w:eastAsia="zh-CN"/>
        </w:rPr>
        <w:t>(s)</w:t>
      </w:r>
      <w:r>
        <w:rPr>
          <w:rFonts w:eastAsia="等线"/>
          <w:b/>
          <w:bCs/>
          <w:kern w:val="2"/>
          <w:sz w:val="21"/>
          <w:szCs w:val="21"/>
          <w:highlight w:val="none"/>
          <w:lang w:val="en-US" w:eastAsia="zh-CN"/>
        </w:rPr>
        <w:t xml:space="preserve"> on the bands of PCC and SCC, and two simultaneous separate Rx beams assumed.</w:t>
      </w:r>
    </w:p>
    <w:p>
      <w:pPr>
        <w:pStyle w:val="9"/>
        <w:numPr>
          <w:ilvl w:val="0"/>
          <w:numId w:val="0"/>
        </w:numPr>
        <w:bidi w:val="0"/>
        <w:ind w:leftChars="0"/>
        <w:rPr>
          <w:rFonts w:hint="eastAsia"/>
          <w:b/>
          <w:bCs/>
          <w:lang w:val="en-US" w:eastAsia="zh-CN"/>
        </w:rPr>
      </w:pPr>
      <w:r>
        <w:rPr>
          <w:rFonts w:hint="eastAsia"/>
          <w:b/>
          <w:bCs/>
          <w:lang w:val="en-US" w:eastAsia="zh-CN"/>
        </w:rPr>
        <w:t xml:space="preserve">Proposal 2: To differentiate Case 4 and Case 5, an additional UE capability to indicate common or separate Rx beam is needed with per BC type for the bands in which UE supporting phase antenna array. </w:t>
      </w:r>
    </w:p>
    <w:p>
      <w:pPr>
        <w:pStyle w:val="9"/>
        <w:bidi w:val="0"/>
        <w:rPr>
          <w:rFonts w:hint="eastAsia"/>
          <w:b/>
          <w:bCs/>
          <w:lang w:val="en-US" w:eastAsia="zh-CN"/>
        </w:rPr>
      </w:pPr>
      <w:r>
        <w:rPr>
          <w:rFonts w:hint="eastAsia"/>
          <w:b/>
          <w:bCs/>
          <w:lang w:val="en-US" w:eastAsia="zh-CN"/>
        </w:rPr>
        <w:t>Observation 1: For legacy requirements of MRTD for inter-band CA, the basic assumption is non co-located deployment, which is different from the assumption of co-located deployment in R19 ATG.</w:t>
      </w:r>
    </w:p>
    <w:p>
      <w:pPr>
        <w:pStyle w:val="9"/>
        <w:bidi w:val="0"/>
        <w:rPr>
          <w:rFonts w:hint="default"/>
          <w:lang w:val="en-US" w:eastAsia="zh-CN"/>
        </w:rPr>
      </w:pPr>
      <w:r>
        <w:rPr>
          <w:rFonts w:hint="eastAsia"/>
          <w:b/>
          <w:bCs/>
          <w:lang w:val="en-US" w:eastAsia="zh-CN"/>
        </w:rPr>
        <w:t>Observation 2: For the UE supporting Case 4, a single RF chain/antenna panel is one of the possible UE implementation in ATG scenario.</w:t>
      </w:r>
    </w:p>
    <w:p>
      <w:pPr>
        <w:pStyle w:val="9"/>
        <w:bidi w:val="0"/>
        <w:rPr>
          <w:rFonts w:hint="default"/>
          <w:lang w:val="en-US" w:eastAsia="zh-CN"/>
        </w:rPr>
      </w:pPr>
      <w:r>
        <w:rPr>
          <w:rFonts w:hint="eastAsia"/>
          <w:b/>
          <w:bCs/>
          <w:lang w:val="en-US" w:eastAsia="zh-CN"/>
        </w:rPr>
        <w:t>Proposal 3: For inter-band CA of R19 ATG, the MRTD would be not larger than 3µs.</w:t>
      </w:r>
    </w:p>
    <w:p>
      <w:pPr>
        <w:pStyle w:val="9"/>
        <w:bidi w:val="0"/>
        <w:rPr>
          <w:rFonts w:hint="eastAsia"/>
          <w:b/>
          <w:bCs/>
          <w:lang w:val="en-US" w:eastAsia="zh-CN"/>
        </w:rPr>
      </w:pPr>
      <w:r>
        <w:rPr>
          <w:rFonts w:hint="eastAsia"/>
          <w:b/>
          <w:bCs/>
          <w:lang w:val="en-US" w:eastAsia="zh-CN"/>
        </w:rPr>
        <w:t xml:space="preserve">Proposal 4: For the deactivated SCell measurement, under the assumption of antenna phase array,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 xml:space="preserve">The beam sweeping factor N1 is needed.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The L3/L1 measurement sharing factor K</w:t>
      </w:r>
      <w:r>
        <w:rPr>
          <w:rFonts w:hint="eastAsia"/>
          <w:b/>
          <w:bCs/>
          <w:sz w:val="13"/>
          <w:szCs w:val="13"/>
          <w:lang w:val="en-US" w:eastAsia="zh-CN"/>
        </w:rPr>
        <w:t>layer1_measurement</w:t>
      </w:r>
      <w:r>
        <w:rPr>
          <w:rFonts w:hint="eastAsia"/>
          <w:b/>
          <w:bCs/>
          <w:lang w:val="en-US" w:eastAsia="zh-CN"/>
        </w:rPr>
        <w:t xml:space="preserve"> is not needed. </w:t>
      </w:r>
    </w:p>
    <w:p>
      <w:pPr>
        <w:pStyle w:val="9"/>
        <w:bidi w:val="0"/>
        <w:rPr>
          <w:rFonts w:hint="eastAsia"/>
          <w:b/>
          <w:bCs/>
          <w:lang w:val="en-US" w:eastAsia="zh-CN"/>
        </w:rPr>
      </w:pPr>
      <w:r>
        <w:rPr>
          <w:rFonts w:hint="eastAsia"/>
          <w:b/>
          <w:bCs/>
          <w:lang w:val="en-US" w:eastAsia="zh-CN"/>
        </w:rPr>
        <w:t>Proposal 5: For inter-band CA, identify the scheduling restriction for all the antenna assumption cases one by one.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For Case 1, reuse legacy TN scheduling restriction scheme for FR1.</w:t>
      </w:r>
    </w:p>
    <w:p>
      <w:pPr>
        <w:pStyle w:val="9"/>
        <w:numPr>
          <w:ilvl w:val="0"/>
          <w:numId w:val="9"/>
        </w:numPr>
        <w:bidi w:val="0"/>
        <w:ind w:left="420" w:leftChars="0" w:hanging="420" w:firstLineChars="0"/>
        <w:rPr>
          <w:rFonts w:hint="default"/>
          <w:b/>
          <w:bCs/>
          <w:lang w:val="en-US" w:eastAsia="zh-CN"/>
        </w:rPr>
      </w:pPr>
      <w:r>
        <w:rPr>
          <w:rFonts w:hint="eastAsia"/>
          <w:b/>
          <w:bCs/>
          <w:lang w:val="en-US" w:eastAsia="zh-CN"/>
        </w:rPr>
        <w:t>For Case 2&amp;3, within the band of phase antenna array assumed, reuse the legacy strategy for intra-band CA. Within the band of omnidirectional antennas assumed, reuse legacy TN scheduling restriction strategy for FR1. No scheduling restriction across bands.</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For Case 4, extend the R18 ATG scheduling restriction to all the intra-band and inter-band serving cells.</w:t>
      </w:r>
    </w:p>
    <w:p>
      <w:pPr>
        <w:pStyle w:val="9"/>
        <w:numPr>
          <w:ilvl w:val="0"/>
          <w:numId w:val="9"/>
        </w:numPr>
        <w:bidi w:val="0"/>
        <w:ind w:left="420" w:leftChars="0" w:hanging="420" w:firstLineChars="0"/>
        <w:rPr>
          <w:rFonts w:hint="default"/>
          <w:b/>
          <w:bCs/>
          <w:lang w:val="en-US" w:eastAsia="zh-CN"/>
        </w:rPr>
      </w:pPr>
      <w:r>
        <w:rPr>
          <w:rFonts w:hint="eastAsia"/>
          <w:b/>
          <w:bCs/>
          <w:lang w:val="en-US" w:eastAsia="zh-CN"/>
        </w:rPr>
        <w:t>For Case 5, extend the R18 ATG scheduling restriction to all the intra-band serving cell. No scheduling restriction across bands.</w:t>
      </w:r>
    </w:p>
    <w:p>
      <w:pPr>
        <w:pStyle w:val="9"/>
        <w:bidi w:val="0"/>
        <w:rPr>
          <w:rFonts w:hint="eastAsia"/>
          <w:b/>
          <w:bCs/>
          <w:lang w:val="en-US" w:eastAsia="zh-CN"/>
        </w:rPr>
      </w:pPr>
      <w:r>
        <w:rPr>
          <w:rFonts w:hint="eastAsia"/>
          <w:b/>
          <w:bCs/>
          <w:lang w:val="en-US" w:eastAsia="zh-CN"/>
        </w:rPr>
        <w:t>Proposal 6: Reuse legacy simultaneous DCI/RRC/timer based active BWP switching requirements.</w:t>
      </w:r>
    </w:p>
    <w:p>
      <w:pPr>
        <w:pStyle w:val="9"/>
        <w:bidi w:val="0"/>
        <w:rPr>
          <w:rFonts w:hint="default"/>
          <w:b/>
          <w:bCs/>
          <w:lang w:val="en-US" w:eastAsia="zh-CN"/>
        </w:rPr>
      </w:pPr>
      <w:r>
        <w:rPr>
          <w:rFonts w:hint="eastAsia"/>
          <w:b/>
          <w:bCs/>
          <w:lang w:val="en-US" w:eastAsia="zh-CN"/>
        </w:rPr>
        <w:t>Proposal 7: Need to define the interruption requirements for SRS antenna port switching. Prefer to reuse the existing requirements.</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98775365"/>
      <w:r>
        <w:rPr>
          <w:rFonts w:hint="eastAsia"/>
          <w:color w:val="auto"/>
          <w:sz w:val="20"/>
          <w:szCs w:val="20"/>
          <w:highlight w:val="none"/>
          <w:lang w:val="en-US" w:eastAsia="zh-CN"/>
        </w:rPr>
        <w:t>RP-243285, New WID: New WID on Enhancements for Air-to-ground network for NR, 3GPP TSG RAN Meeting #10</w:t>
      </w:r>
      <w:bookmarkEnd w:id="1"/>
      <w:r>
        <w:rPr>
          <w:rFonts w:hint="eastAsia"/>
          <w:color w:val="auto"/>
          <w:sz w:val="20"/>
          <w:szCs w:val="20"/>
          <w:highlight w:val="none"/>
          <w:lang w:val="en-US" w:eastAsia="zh-CN"/>
        </w:rPr>
        <w:t>6.</w:t>
      </w:r>
    </w:p>
    <w:p>
      <w:pPr>
        <w:pStyle w:val="10"/>
        <w:numPr>
          <w:ilvl w:val="0"/>
          <w:numId w:val="10"/>
        </w:numPr>
        <w:ind w:leftChars="0"/>
        <w:rPr>
          <w:rFonts w:hint="eastAsia"/>
          <w:color w:val="auto"/>
          <w:sz w:val="20"/>
          <w:szCs w:val="20"/>
          <w:highlight w:val="none"/>
          <w:lang w:val="en-US" w:eastAsia="zh-CN"/>
        </w:rPr>
      </w:pPr>
      <w:r>
        <w:rPr>
          <w:rFonts w:hint="eastAsia" w:cs="Arial"/>
          <w:sz w:val="22"/>
          <w:lang w:val="en-US" w:eastAsia="zh-CN"/>
        </w:rPr>
        <w:t xml:space="preserve">R4-2420237, </w:t>
      </w:r>
      <w:r>
        <w:rPr>
          <w:rFonts w:hint="eastAsia" w:ascii="Arial" w:hAnsi="Arial" w:cs="Arial"/>
          <w:sz w:val="22"/>
          <w:lang w:val="en-US" w:eastAsia="zh-CN"/>
        </w:rPr>
        <w:t>WF on RRM requirements for NR_ATG_enh</w:t>
      </w:r>
      <w:r>
        <w:rPr>
          <w:rFonts w:hint="eastAsia" w:cs="Arial"/>
          <w:sz w:val="22"/>
          <w:lang w:val="en-US" w:eastAsia="zh-CN"/>
        </w:rPr>
        <w:t>, CMCC, RAN4#113.</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2C52758"/>
    <w:multiLevelType w:val="singleLevel"/>
    <w:tmpl w:val="E2C52758"/>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66C4DC"/>
    <w:multiLevelType w:val="singleLevel"/>
    <w:tmpl w:val="1C66C4DC"/>
    <w:lvl w:ilvl="0" w:tentative="0">
      <w:start w:val="1"/>
      <w:numFmt w:val="bullet"/>
      <w:lvlText w:val=""/>
      <w:lvlJc w:val="left"/>
      <w:pPr>
        <w:ind w:left="420" w:hanging="420"/>
      </w:pPr>
      <w:rPr>
        <w:rFonts w:hint="default" w:ascii="Wingdings" w:hAnsi="Wingdings"/>
      </w:rPr>
    </w:lvl>
  </w:abstractNum>
  <w:abstractNum w:abstractNumId="4">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6D51A4D0"/>
    <w:multiLevelType w:val="singleLevel"/>
    <w:tmpl w:val="6D51A4D0"/>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5"/>
  </w:num>
  <w:num w:numId="4">
    <w:abstractNumId w:val="2"/>
  </w:num>
  <w:num w:numId="5">
    <w:abstractNumId w:val="4"/>
  </w:num>
  <w:num w:numId="6">
    <w:abstractNumId w:val="7"/>
  </w:num>
  <w:num w:numId="7">
    <w:abstractNumId w:val="9"/>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